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3E3EF" w14:textId="77777777" w:rsidR="001D5DE9" w:rsidRDefault="001D5DE9" w:rsidP="001D5DE9">
      <w:pPr>
        <w:pStyle w:val="Nzev"/>
        <w:tabs>
          <w:tab w:val="right" w:pos="9781"/>
        </w:tabs>
        <w:rPr>
          <w:rFonts w:asciiTheme="minorHAnsi" w:hAnsiTheme="minorHAnsi" w:cstheme="minorHAnsi"/>
          <w:b/>
          <w:bCs/>
          <w:sz w:val="24"/>
          <w:szCs w:val="24"/>
        </w:rPr>
      </w:pPr>
      <w:r>
        <w:rPr>
          <w:rFonts w:asciiTheme="minorHAnsi" w:hAnsiTheme="minorHAnsi" w:cstheme="minorHAnsi"/>
          <w:b/>
          <w:bCs/>
          <w:caps/>
          <w:sz w:val="24"/>
          <w:szCs w:val="24"/>
        </w:rPr>
        <w:t xml:space="preserve">Smlouva </w:t>
      </w:r>
      <w:r>
        <w:rPr>
          <w:rFonts w:asciiTheme="minorHAnsi" w:hAnsiTheme="minorHAnsi" w:cstheme="minorHAnsi"/>
          <w:b/>
          <w:bCs/>
          <w:sz w:val="24"/>
          <w:szCs w:val="24"/>
        </w:rPr>
        <w:t>O SMLOUVĚ BUDOUCÍ O DODÁVCE TEPELNÉ ENERGIE</w:t>
      </w:r>
    </w:p>
    <w:p w14:paraId="00BC203E" w14:textId="77777777" w:rsidR="001D5DE9" w:rsidRDefault="001D5DE9" w:rsidP="001D5DE9">
      <w:pPr>
        <w:jc w:val="center"/>
        <w:outlineLvl w:val="0"/>
        <w:rPr>
          <w:rFonts w:asciiTheme="minorHAnsi" w:hAnsiTheme="minorHAnsi" w:cstheme="minorHAnsi"/>
          <w:sz w:val="24"/>
          <w:szCs w:val="24"/>
          <w:u w:val="single"/>
        </w:rPr>
      </w:pP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p>
    <w:p w14:paraId="4C2DAAE3" w14:textId="77777777" w:rsidR="001D5DE9" w:rsidRDefault="001D5DE9" w:rsidP="001D5DE9">
      <w:pPr>
        <w:outlineLvl w:val="0"/>
        <w:rPr>
          <w:rFonts w:asciiTheme="minorHAnsi" w:hAnsiTheme="minorHAnsi" w:cstheme="minorHAnsi"/>
          <w:sz w:val="24"/>
          <w:szCs w:val="24"/>
        </w:rPr>
      </w:pPr>
    </w:p>
    <w:p w14:paraId="0F01A16F" w14:textId="77777777" w:rsidR="001D5DE9" w:rsidRDefault="001D5DE9" w:rsidP="001D5DE9">
      <w:pPr>
        <w:outlineLvl w:val="0"/>
        <w:rPr>
          <w:rFonts w:asciiTheme="minorHAnsi" w:hAnsiTheme="minorHAnsi" w:cstheme="minorHAnsi"/>
          <w:sz w:val="24"/>
          <w:szCs w:val="24"/>
        </w:rPr>
      </w:pPr>
      <w:r>
        <w:rPr>
          <w:rFonts w:asciiTheme="minorHAnsi" w:hAnsiTheme="minorHAnsi" w:cstheme="minorHAnsi"/>
          <w:sz w:val="24"/>
          <w:szCs w:val="24"/>
        </w:rPr>
        <w:t>Níže uvedeného dne, měsíce a roku</w:t>
      </w:r>
    </w:p>
    <w:p w14:paraId="4C9ACB88" w14:textId="77777777" w:rsidR="001D5DE9" w:rsidRDefault="001D5DE9" w:rsidP="001D5DE9">
      <w:pPr>
        <w:tabs>
          <w:tab w:val="left" w:pos="3928"/>
        </w:tabs>
        <w:jc w:val="both"/>
        <w:rPr>
          <w:rFonts w:asciiTheme="minorHAnsi" w:hAnsiTheme="minorHAnsi" w:cstheme="minorHAnsi"/>
          <w:b/>
          <w:bCs/>
          <w:sz w:val="24"/>
          <w:szCs w:val="24"/>
        </w:rPr>
      </w:pPr>
      <w:r>
        <w:rPr>
          <w:rFonts w:asciiTheme="minorHAnsi" w:hAnsiTheme="minorHAnsi" w:cstheme="minorHAnsi"/>
          <w:b/>
          <w:bCs/>
          <w:sz w:val="24"/>
          <w:szCs w:val="24"/>
        </w:rPr>
        <w:tab/>
      </w:r>
    </w:p>
    <w:p w14:paraId="697F00B0" w14:textId="77777777" w:rsidR="001D5DE9" w:rsidRDefault="001D5DE9" w:rsidP="001D5DE9">
      <w:pPr>
        <w:rPr>
          <w:rFonts w:asciiTheme="minorHAnsi" w:hAnsiTheme="minorHAnsi" w:cstheme="minorHAnsi"/>
          <w:sz w:val="24"/>
          <w:szCs w:val="24"/>
        </w:rPr>
      </w:pPr>
      <w:r>
        <w:rPr>
          <w:rFonts w:asciiTheme="minorHAnsi" w:hAnsiTheme="minorHAnsi" w:cstheme="minorHAnsi"/>
          <w:b/>
          <w:bCs/>
          <w:sz w:val="24"/>
          <w:szCs w:val="24"/>
          <w:highlight w:val="darkGray"/>
        </w:rPr>
        <w:t xml:space="preserve">XXX, </w:t>
      </w:r>
      <w:proofErr w:type="spellStart"/>
      <w:r>
        <w:rPr>
          <w:rFonts w:asciiTheme="minorHAnsi" w:hAnsiTheme="minorHAnsi" w:cstheme="minorHAnsi"/>
          <w:b/>
          <w:bCs/>
          <w:sz w:val="24"/>
          <w:szCs w:val="24"/>
          <w:highlight w:val="darkGray"/>
        </w:rPr>
        <w:t>x.x.x</w:t>
      </w:r>
      <w:proofErr w:type="spellEnd"/>
      <w:r>
        <w:rPr>
          <w:rFonts w:asciiTheme="minorHAnsi" w:hAnsiTheme="minorHAnsi" w:cstheme="minorHAnsi"/>
          <w:b/>
          <w:bCs/>
          <w:sz w:val="24"/>
          <w:szCs w:val="24"/>
          <w:highlight w:val="darkGray"/>
        </w:rPr>
        <w:t>.</w:t>
      </w:r>
    </w:p>
    <w:p w14:paraId="484A4970" w14:textId="77777777" w:rsidR="001D5DE9" w:rsidRDefault="001D5DE9" w:rsidP="001D5DE9">
      <w:pPr>
        <w:ind w:left="360" w:firstLine="34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Xxxxxxxxxxxxxxxxx</w:t>
      </w:r>
      <w:proofErr w:type="spellEnd"/>
      <w:r>
        <w:rPr>
          <w:rFonts w:asciiTheme="minorHAnsi" w:hAnsiTheme="minorHAnsi" w:cstheme="minorHAnsi"/>
          <w:sz w:val="24"/>
          <w:szCs w:val="24"/>
        </w:rPr>
        <w:t xml:space="preserve">  </w:t>
      </w:r>
    </w:p>
    <w:p w14:paraId="64F01DEF" w14:textId="77777777" w:rsidR="001D5DE9" w:rsidRDefault="001D5DE9" w:rsidP="001D5DE9">
      <w:pP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XXXXXXXX</w:t>
      </w:r>
    </w:p>
    <w:p w14:paraId="6AB94844" w14:textId="77777777" w:rsidR="001D5DE9" w:rsidRDefault="001D5DE9" w:rsidP="001D5DE9">
      <w:pP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CZXXXXXXXX</w:t>
      </w:r>
    </w:p>
    <w:p w14:paraId="61164EDD" w14:textId="77777777" w:rsidR="001D5DE9" w:rsidRDefault="001D5DE9" w:rsidP="001D5DE9">
      <w:pPr>
        <w:ind w:left="708"/>
        <w:jc w:val="both"/>
        <w:rPr>
          <w:rFonts w:asciiTheme="minorHAnsi" w:hAnsiTheme="minorHAnsi" w:cstheme="minorHAnsi"/>
          <w:sz w:val="24"/>
          <w:szCs w:val="24"/>
        </w:rPr>
      </w:pPr>
      <w:r>
        <w:rPr>
          <w:rFonts w:asciiTheme="minorHAnsi" w:hAnsiTheme="minorHAnsi" w:cstheme="minorHAnsi"/>
          <w:sz w:val="24"/>
          <w:szCs w:val="24"/>
        </w:rPr>
        <w:t>obchodní společnost zapsaná v obchodním rejstříku vedeném Krajským soudem v </w:t>
      </w:r>
      <w:proofErr w:type="spellStart"/>
      <w:r>
        <w:rPr>
          <w:rFonts w:asciiTheme="minorHAnsi" w:hAnsiTheme="minorHAnsi" w:cstheme="minorHAnsi"/>
          <w:sz w:val="24"/>
          <w:szCs w:val="24"/>
          <w:highlight w:val="darkGray"/>
        </w:rPr>
        <w:t>Xxxxxxxxxxxxxxx</w:t>
      </w:r>
      <w:proofErr w:type="spellEnd"/>
      <w:r>
        <w:rPr>
          <w:rFonts w:asciiTheme="minorHAnsi" w:hAnsiTheme="minorHAnsi" w:cstheme="minorHAnsi"/>
          <w:sz w:val="24"/>
          <w:szCs w:val="24"/>
        </w:rPr>
        <w:t xml:space="preserve">, oddíl </w:t>
      </w:r>
      <w:r>
        <w:rPr>
          <w:rFonts w:asciiTheme="minorHAnsi" w:hAnsiTheme="minorHAnsi" w:cstheme="minorHAnsi"/>
          <w:sz w:val="24"/>
          <w:szCs w:val="24"/>
          <w:highlight w:val="darkGray"/>
        </w:rPr>
        <w:t>X</w:t>
      </w:r>
      <w:r>
        <w:rPr>
          <w:rFonts w:asciiTheme="minorHAnsi" w:hAnsiTheme="minorHAnsi" w:cstheme="minorHAnsi"/>
          <w:sz w:val="24"/>
          <w:szCs w:val="24"/>
        </w:rPr>
        <w:t xml:space="preserve">, vložka </w:t>
      </w:r>
      <w:r>
        <w:rPr>
          <w:rFonts w:asciiTheme="minorHAnsi" w:hAnsiTheme="minorHAnsi" w:cstheme="minorHAnsi"/>
          <w:sz w:val="24"/>
          <w:szCs w:val="24"/>
          <w:highlight w:val="darkGray"/>
        </w:rPr>
        <w:t>XXXX</w:t>
      </w:r>
    </w:p>
    <w:p w14:paraId="2FDC5F49" w14:textId="77777777" w:rsidR="001D5DE9" w:rsidRDefault="001D5DE9" w:rsidP="001D5DE9">
      <w:pPr>
        <w:ind w:left="4248" w:hanging="3540"/>
        <w:jc w:val="both"/>
        <w:rPr>
          <w:rFonts w:asciiTheme="minorHAnsi" w:hAnsiTheme="minorHAnsi" w:cstheme="minorHAnsi"/>
          <w:sz w:val="24"/>
          <w:szCs w:val="24"/>
        </w:rPr>
      </w:pPr>
      <w:r>
        <w:rPr>
          <w:rFonts w:asciiTheme="minorHAnsi" w:hAnsiTheme="minorHAnsi" w:cstheme="minorHAnsi"/>
          <w:sz w:val="24"/>
          <w:szCs w:val="24"/>
        </w:rPr>
        <w:t xml:space="preserve">zastoupená:         </w:t>
      </w:r>
      <w:proofErr w:type="spellStart"/>
      <w:r>
        <w:rPr>
          <w:rFonts w:asciiTheme="minorHAnsi" w:hAnsiTheme="minorHAnsi" w:cstheme="minorHAnsi"/>
          <w:sz w:val="24"/>
          <w:szCs w:val="24"/>
          <w:highlight w:val="darkGray"/>
        </w:rPr>
        <w:t>Xxxxxxx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 funkce</w:t>
      </w:r>
    </w:p>
    <w:p w14:paraId="344035AF" w14:textId="77777777" w:rsidR="001D5DE9" w:rsidRDefault="001D5DE9" w:rsidP="001D5DE9">
      <w:pPr>
        <w:jc w:val="both"/>
        <w:rPr>
          <w:rFonts w:asciiTheme="minorHAnsi" w:hAnsiTheme="minorHAnsi" w:cstheme="minorHAnsi"/>
          <w:sz w:val="24"/>
          <w:szCs w:val="24"/>
        </w:rPr>
      </w:pPr>
      <w:r>
        <w:rPr>
          <w:rFonts w:asciiTheme="minorHAnsi" w:hAnsiTheme="minorHAnsi" w:cstheme="minorHAnsi"/>
          <w:sz w:val="24"/>
          <w:szCs w:val="24"/>
        </w:rPr>
        <w:tab/>
      </w:r>
    </w:p>
    <w:p w14:paraId="1E583CF7" w14:textId="77777777" w:rsidR="001D5DE9" w:rsidRDefault="001D5DE9" w:rsidP="001D5DE9">
      <w:pPr>
        <w:jc w:val="both"/>
        <w:rPr>
          <w:rFonts w:asciiTheme="minorHAnsi" w:hAnsiTheme="minorHAnsi" w:cstheme="minorHAnsi"/>
          <w:sz w:val="24"/>
          <w:szCs w:val="24"/>
        </w:rPr>
      </w:pPr>
      <w:r>
        <w:rPr>
          <w:rFonts w:asciiTheme="minorHAnsi" w:hAnsiTheme="minorHAnsi" w:cstheme="minorHAnsi"/>
          <w:sz w:val="24"/>
          <w:szCs w:val="24"/>
        </w:rPr>
        <w:tab/>
        <w:t xml:space="preserve">(dále též jen </w:t>
      </w:r>
      <w:r>
        <w:rPr>
          <w:rFonts w:asciiTheme="minorHAnsi" w:hAnsiTheme="minorHAnsi" w:cstheme="minorHAnsi"/>
          <w:b/>
          <w:bCs/>
          <w:sz w:val="24"/>
          <w:szCs w:val="24"/>
        </w:rPr>
        <w:t xml:space="preserve">„oprávněná strana“ </w:t>
      </w:r>
      <w:r>
        <w:rPr>
          <w:rFonts w:asciiTheme="minorHAnsi" w:hAnsiTheme="minorHAnsi" w:cstheme="minorHAnsi"/>
          <w:sz w:val="24"/>
          <w:szCs w:val="24"/>
        </w:rPr>
        <w:t>nebo</w:t>
      </w:r>
      <w:r>
        <w:rPr>
          <w:rFonts w:asciiTheme="minorHAnsi" w:hAnsiTheme="minorHAnsi" w:cstheme="minorHAnsi"/>
          <w:b/>
          <w:bCs/>
          <w:sz w:val="24"/>
          <w:szCs w:val="24"/>
        </w:rPr>
        <w:t xml:space="preserve"> „budoucí dodavatel“</w:t>
      </w:r>
      <w:r>
        <w:rPr>
          <w:rFonts w:asciiTheme="minorHAnsi" w:hAnsiTheme="minorHAnsi" w:cstheme="minorHAnsi"/>
          <w:sz w:val="24"/>
          <w:szCs w:val="24"/>
        </w:rPr>
        <w:t>)</w:t>
      </w:r>
    </w:p>
    <w:p w14:paraId="3A2780A9" w14:textId="77777777" w:rsidR="001D5DE9" w:rsidRDefault="001D5DE9" w:rsidP="001D5DE9">
      <w:pPr>
        <w:ind w:left="708"/>
        <w:jc w:val="both"/>
        <w:rPr>
          <w:rFonts w:asciiTheme="minorHAnsi" w:hAnsiTheme="minorHAnsi" w:cstheme="minorHAnsi"/>
          <w:sz w:val="24"/>
          <w:szCs w:val="24"/>
        </w:rPr>
      </w:pPr>
      <w:r>
        <w:rPr>
          <w:rFonts w:asciiTheme="minorHAnsi" w:hAnsiTheme="minorHAnsi" w:cstheme="minorHAnsi"/>
          <w:sz w:val="24"/>
          <w:szCs w:val="24"/>
        </w:rPr>
        <w:t xml:space="preserve">na straně jedné </w:t>
      </w:r>
    </w:p>
    <w:p w14:paraId="187F9E53" w14:textId="77777777" w:rsidR="001D5DE9" w:rsidRDefault="001D5DE9" w:rsidP="001D5DE9">
      <w:pPr>
        <w:ind w:left="708"/>
        <w:jc w:val="both"/>
        <w:rPr>
          <w:rFonts w:asciiTheme="minorHAnsi" w:hAnsiTheme="minorHAnsi" w:cstheme="minorHAnsi"/>
          <w:sz w:val="24"/>
          <w:szCs w:val="24"/>
        </w:rPr>
      </w:pPr>
    </w:p>
    <w:p w14:paraId="72E9A234" w14:textId="77777777" w:rsidR="001D5DE9" w:rsidRDefault="001D5DE9" w:rsidP="001D5DE9">
      <w:pPr>
        <w:jc w:val="both"/>
        <w:rPr>
          <w:rFonts w:asciiTheme="minorHAnsi" w:hAnsiTheme="minorHAnsi" w:cstheme="minorHAnsi"/>
          <w:b/>
          <w:bCs/>
          <w:sz w:val="24"/>
          <w:szCs w:val="24"/>
        </w:rPr>
      </w:pPr>
      <w:r>
        <w:rPr>
          <w:rFonts w:asciiTheme="minorHAnsi" w:hAnsiTheme="minorHAnsi" w:cstheme="minorHAnsi"/>
          <w:b/>
          <w:bCs/>
          <w:sz w:val="24"/>
          <w:szCs w:val="24"/>
        </w:rPr>
        <w:t>a</w:t>
      </w:r>
    </w:p>
    <w:p w14:paraId="08008CBF" w14:textId="77777777" w:rsidR="001D5DE9" w:rsidRDefault="001D5DE9" w:rsidP="001D5DE9">
      <w:pPr>
        <w:ind w:left="708"/>
        <w:jc w:val="both"/>
        <w:rPr>
          <w:rFonts w:asciiTheme="minorHAnsi" w:hAnsiTheme="minorHAnsi" w:cstheme="minorHAnsi"/>
          <w:sz w:val="24"/>
          <w:szCs w:val="24"/>
        </w:rPr>
      </w:pPr>
    </w:p>
    <w:p w14:paraId="18242593" w14:textId="77777777" w:rsidR="001D5DE9" w:rsidRDefault="001D5DE9" w:rsidP="001D5DE9">
      <w:p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MMN, a.s.</w:t>
      </w:r>
    </w:p>
    <w:p w14:paraId="3DC235FE" w14:textId="77777777" w:rsidR="001D5DE9" w:rsidRDefault="001D5DE9" w:rsidP="001D5DE9">
      <w:pPr>
        <w:pStyle w:val="Bezmezer"/>
        <w:ind w:firstLine="70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rPr>
        <w:t>Metyšova</w:t>
      </w:r>
      <w:proofErr w:type="spellEnd"/>
      <w:r>
        <w:rPr>
          <w:rFonts w:asciiTheme="minorHAnsi" w:hAnsiTheme="minorHAnsi" w:cstheme="minorHAnsi"/>
          <w:sz w:val="24"/>
          <w:szCs w:val="24"/>
        </w:rPr>
        <w:t xml:space="preserve"> 465, 514 01 Jilemnice</w:t>
      </w:r>
    </w:p>
    <w:p w14:paraId="5E9E36F3" w14:textId="77777777" w:rsidR="001D5DE9" w:rsidRDefault="001D5DE9" w:rsidP="001D5DE9">
      <w:pPr>
        <w:pStyle w:val="Bezmeze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t>054 21 888</w:t>
      </w:r>
    </w:p>
    <w:p w14:paraId="76AEF4C5" w14:textId="77777777" w:rsidR="001D5DE9" w:rsidRDefault="001D5DE9" w:rsidP="001D5DE9">
      <w:pPr>
        <w:pStyle w:val="Bezmeze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t>CZ05421888</w:t>
      </w:r>
    </w:p>
    <w:p w14:paraId="30F12A5F" w14:textId="77777777" w:rsidR="001D5DE9" w:rsidRDefault="001D5DE9" w:rsidP="001D5DE9">
      <w:pPr>
        <w:pStyle w:val="Bezmezer"/>
        <w:ind w:left="708"/>
        <w:rPr>
          <w:rFonts w:asciiTheme="minorHAnsi" w:hAnsiTheme="minorHAnsi" w:cstheme="minorHAnsi"/>
          <w:sz w:val="24"/>
          <w:szCs w:val="24"/>
        </w:rPr>
      </w:pPr>
      <w:r>
        <w:rPr>
          <w:rFonts w:asciiTheme="minorHAnsi" w:hAnsiTheme="minorHAnsi" w:cstheme="minorHAnsi"/>
          <w:sz w:val="24"/>
          <w:szCs w:val="24"/>
        </w:rPr>
        <w:t>obchodní společnost zapsaná v obchodním rejstříku vedeném Krajským soudem v Hradci Králové, oddíl B, vložka 3506</w:t>
      </w:r>
    </w:p>
    <w:p w14:paraId="2EF33B48" w14:textId="77777777" w:rsidR="001D5DE9" w:rsidRDefault="001D5DE9" w:rsidP="001D5DE9">
      <w:pPr>
        <w:pStyle w:val="Bezmezer"/>
        <w:ind w:firstLine="709"/>
        <w:rPr>
          <w:rFonts w:asciiTheme="minorHAnsi" w:hAnsiTheme="minorHAnsi" w:cstheme="minorHAnsi"/>
          <w:sz w:val="24"/>
          <w:szCs w:val="24"/>
        </w:rPr>
      </w:pPr>
      <w:r>
        <w:rPr>
          <w:rFonts w:asciiTheme="minorHAnsi" w:hAnsiTheme="minorHAnsi" w:cstheme="minorHAnsi"/>
          <w:sz w:val="24"/>
          <w:szCs w:val="24"/>
        </w:rPr>
        <w:t>zastoupená:</w:t>
      </w:r>
      <w:r>
        <w:rPr>
          <w:rFonts w:asciiTheme="minorHAnsi" w:hAnsiTheme="minorHAnsi" w:cstheme="minorHAnsi"/>
          <w:sz w:val="24"/>
          <w:szCs w:val="24"/>
        </w:rPr>
        <w:tab/>
        <w:t>MUDr. Jiřím Kalenským, předsedou představenstva a</w:t>
      </w:r>
    </w:p>
    <w:p w14:paraId="4435F88C" w14:textId="77777777" w:rsidR="001D5DE9" w:rsidRDefault="001D5DE9" w:rsidP="001D5DE9">
      <w:pPr>
        <w:pStyle w:val="Bezmezer"/>
        <w:ind w:firstLine="709"/>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t>Ing. Alenou Kuželovou, MBA, místopředsedou představenstva</w:t>
      </w:r>
    </w:p>
    <w:p w14:paraId="658CDFF5" w14:textId="77777777" w:rsidR="001D5DE9" w:rsidRDefault="001D5DE9" w:rsidP="001D5DE9">
      <w:pPr>
        <w:pStyle w:val="Bezmezer"/>
        <w:ind w:firstLine="709"/>
        <w:rPr>
          <w:rFonts w:asciiTheme="minorHAnsi" w:hAnsiTheme="minorHAnsi" w:cstheme="minorHAnsi"/>
          <w:sz w:val="24"/>
          <w:szCs w:val="24"/>
        </w:rPr>
      </w:pPr>
    </w:p>
    <w:p w14:paraId="6878B6AF" w14:textId="77777777" w:rsidR="001D5DE9" w:rsidRDefault="001D5DE9" w:rsidP="001D5DE9">
      <w:pPr>
        <w:ind w:firstLine="708"/>
        <w:jc w:val="both"/>
        <w:rPr>
          <w:rFonts w:asciiTheme="minorHAnsi" w:hAnsiTheme="minorHAnsi" w:cstheme="minorHAnsi"/>
          <w:sz w:val="24"/>
          <w:szCs w:val="24"/>
        </w:rPr>
      </w:pPr>
      <w:r>
        <w:rPr>
          <w:rFonts w:asciiTheme="minorHAnsi" w:hAnsiTheme="minorHAnsi" w:cstheme="minorHAnsi"/>
          <w:sz w:val="24"/>
          <w:szCs w:val="24"/>
        </w:rPr>
        <w:t xml:space="preserve">(dále též jen </w:t>
      </w:r>
      <w:r>
        <w:rPr>
          <w:rFonts w:asciiTheme="minorHAnsi" w:hAnsiTheme="minorHAnsi" w:cstheme="minorHAnsi"/>
          <w:b/>
          <w:bCs/>
          <w:sz w:val="24"/>
          <w:szCs w:val="24"/>
        </w:rPr>
        <w:t>„zavázaná strana“</w:t>
      </w:r>
      <w:r>
        <w:rPr>
          <w:rFonts w:asciiTheme="minorHAnsi" w:hAnsiTheme="minorHAnsi" w:cstheme="minorHAnsi"/>
          <w:sz w:val="24"/>
          <w:szCs w:val="24"/>
        </w:rPr>
        <w:t xml:space="preserve"> nebo </w:t>
      </w:r>
      <w:r>
        <w:rPr>
          <w:rFonts w:asciiTheme="minorHAnsi" w:hAnsiTheme="minorHAnsi" w:cstheme="minorHAnsi"/>
          <w:b/>
          <w:bCs/>
          <w:sz w:val="24"/>
          <w:szCs w:val="24"/>
        </w:rPr>
        <w:t>„budoucí odběratel“</w:t>
      </w:r>
      <w:r>
        <w:rPr>
          <w:rFonts w:asciiTheme="minorHAnsi" w:hAnsiTheme="minorHAnsi" w:cstheme="minorHAnsi"/>
          <w:sz w:val="24"/>
          <w:szCs w:val="24"/>
        </w:rPr>
        <w:t>)</w:t>
      </w:r>
    </w:p>
    <w:p w14:paraId="7A053B00" w14:textId="77777777" w:rsidR="001D5DE9" w:rsidRDefault="001D5DE9" w:rsidP="001D5DE9">
      <w:pPr>
        <w:jc w:val="both"/>
        <w:rPr>
          <w:rFonts w:asciiTheme="minorHAnsi" w:hAnsiTheme="minorHAnsi" w:cstheme="minorHAnsi"/>
          <w:sz w:val="24"/>
          <w:szCs w:val="24"/>
        </w:rPr>
      </w:pPr>
      <w:r>
        <w:rPr>
          <w:rFonts w:asciiTheme="minorHAnsi" w:hAnsiTheme="minorHAnsi" w:cstheme="minorHAnsi"/>
          <w:sz w:val="24"/>
          <w:szCs w:val="24"/>
        </w:rPr>
        <w:tab/>
        <w:t>na straně druhé</w:t>
      </w:r>
    </w:p>
    <w:p w14:paraId="35B570A0" w14:textId="77777777" w:rsidR="001D5DE9" w:rsidRDefault="001D5DE9" w:rsidP="001D5DE9">
      <w:pPr>
        <w:ind w:firstLine="708"/>
        <w:jc w:val="both"/>
        <w:rPr>
          <w:rFonts w:asciiTheme="minorHAnsi" w:hAnsiTheme="minorHAnsi" w:cstheme="minorHAnsi"/>
          <w:sz w:val="24"/>
          <w:szCs w:val="24"/>
        </w:rPr>
      </w:pPr>
    </w:p>
    <w:p w14:paraId="0CAE8D42" w14:textId="77777777" w:rsidR="001D5DE9" w:rsidRDefault="001D5DE9" w:rsidP="001D5DE9">
      <w:pPr>
        <w:ind w:left="708"/>
        <w:jc w:val="both"/>
        <w:rPr>
          <w:rFonts w:asciiTheme="minorHAnsi" w:hAnsiTheme="minorHAnsi" w:cstheme="minorHAnsi"/>
          <w:sz w:val="24"/>
          <w:szCs w:val="24"/>
        </w:rPr>
      </w:pPr>
      <w:r>
        <w:rPr>
          <w:rFonts w:asciiTheme="minorHAnsi" w:hAnsiTheme="minorHAnsi" w:cstheme="minorHAnsi"/>
          <w:sz w:val="24"/>
          <w:szCs w:val="24"/>
        </w:rPr>
        <w:t xml:space="preserve">(oprávněná strana nebo budoucí dodavatel a zavázaná strana nebo budoucí odběratel společně dále též jen </w:t>
      </w:r>
      <w:r>
        <w:rPr>
          <w:rFonts w:asciiTheme="minorHAnsi" w:hAnsiTheme="minorHAnsi" w:cstheme="minorHAnsi"/>
          <w:b/>
          <w:bCs/>
          <w:sz w:val="24"/>
          <w:szCs w:val="24"/>
        </w:rPr>
        <w:t>„smluvní strany“</w:t>
      </w:r>
      <w:r>
        <w:rPr>
          <w:rFonts w:asciiTheme="minorHAnsi" w:hAnsiTheme="minorHAnsi" w:cstheme="minorHAnsi"/>
          <w:sz w:val="24"/>
          <w:szCs w:val="24"/>
        </w:rPr>
        <w:t>)</w:t>
      </w:r>
    </w:p>
    <w:p w14:paraId="1F6DDC5E" w14:textId="77777777" w:rsidR="001D5DE9" w:rsidRDefault="001D5DE9" w:rsidP="001D5DE9">
      <w:pPr>
        <w:jc w:val="both"/>
        <w:rPr>
          <w:rFonts w:asciiTheme="minorHAnsi" w:hAnsiTheme="minorHAnsi" w:cstheme="minorHAnsi"/>
          <w:sz w:val="24"/>
          <w:szCs w:val="24"/>
        </w:rPr>
      </w:pPr>
    </w:p>
    <w:p w14:paraId="54ABCF40" w14:textId="77777777" w:rsidR="001D5DE9" w:rsidRDefault="001D5DE9" w:rsidP="001D5DE9">
      <w:pPr>
        <w:jc w:val="both"/>
        <w:rPr>
          <w:rFonts w:asciiTheme="minorHAnsi" w:hAnsiTheme="minorHAnsi" w:cstheme="minorHAnsi"/>
          <w:sz w:val="24"/>
          <w:szCs w:val="24"/>
        </w:rPr>
      </w:pPr>
      <w:r>
        <w:rPr>
          <w:rFonts w:asciiTheme="minorHAnsi" w:hAnsiTheme="minorHAnsi" w:cstheme="minorHAnsi"/>
          <w:sz w:val="24"/>
          <w:szCs w:val="24"/>
        </w:rPr>
        <w:t>uzavírají v souladu s ustanoveními § 1785 a násl. zák. č. 89/2012 Sb., občanský zákoník, v platném znění (dále jen „</w:t>
      </w:r>
      <w:r>
        <w:rPr>
          <w:rFonts w:asciiTheme="minorHAnsi" w:hAnsiTheme="minorHAnsi" w:cstheme="minorHAnsi"/>
          <w:b/>
          <w:sz w:val="24"/>
          <w:szCs w:val="24"/>
        </w:rPr>
        <w:t>občanský zákoník</w:t>
      </w:r>
      <w:r>
        <w:rPr>
          <w:rFonts w:asciiTheme="minorHAnsi" w:hAnsiTheme="minorHAnsi" w:cstheme="minorHAnsi"/>
          <w:sz w:val="24"/>
          <w:szCs w:val="24"/>
        </w:rPr>
        <w:t>“), a zák. č. 458/2000 Sb., (energetický zákon) v platném znění (dále jen „</w:t>
      </w:r>
      <w:r>
        <w:rPr>
          <w:rFonts w:asciiTheme="minorHAnsi" w:hAnsiTheme="minorHAnsi" w:cstheme="minorHAnsi"/>
          <w:b/>
          <w:sz w:val="24"/>
          <w:szCs w:val="24"/>
        </w:rPr>
        <w:t>energetický zákon</w:t>
      </w:r>
      <w:r>
        <w:rPr>
          <w:rFonts w:asciiTheme="minorHAnsi" w:hAnsiTheme="minorHAnsi" w:cstheme="minorHAnsi"/>
          <w:sz w:val="24"/>
          <w:szCs w:val="24"/>
        </w:rPr>
        <w:t>“), tuto</w:t>
      </w:r>
    </w:p>
    <w:p w14:paraId="5E3AA091" w14:textId="77777777" w:rsidR="001D5DE9" w:rsidRDefault="001D5DE9" w:rsidP="001D5DE9">
      <w:pPr>
        <w:rPr>
          <w:rFonts w:asciiTheme="minorHAnsi" w:hAnsiTheme="minorHAnsi" w:cstheme="minorHAnsi"/>
          <w:sz w:val="24"/>
          <w:szCs w:val="24"/>
        </w:rPr>
      </w:pPr>
    </w:p>
    <w:p w14:paraId="0A2EBE1C" w14:textId="77777777" w:rsidR="001D5DE9" w:rsidRDefault="001D5DE9" w:rsidP="001D5DE9">
      <w:pPr>
        <w:jc w:val="center"/>
        <w:rPr>
          <w:rFonts w:asciiTheme="minorHAnsi" w:hAnsiTheme="minorHAnsi" w:cstheme="minorHAnsi"/>
          <w:b/>
          <w:bCs/>
          <w:sz w:val="26"/>
          <w:szCs w:val="26"/>
        </w:rPr>
      </w:pPr>
      <w:r>
        <w:rPr>
          <w:rFonts w:asciiTheme="minorHAnsi" w:hAnsiTheme="minorHAnsi" w:cstheme="minorHAnsi"/>
          <w:b/>
          <w:bCs/>
          <w:sz w:val="26"/>
          <w:szCs w:val="26"/>
        </w:rPr>
        <w:t xml:space="preserve">Smlouvu o smlouvě budoucí o dodávce tepelné energie </w:t>
      </w:r>
    </w:p>
    <w:p w14:paraId="3E3FED12" w14:textId="77777777" w:rsidR="001D5DE9" w:rsidRDefault="001D5DE9" w:rsidP="001D5DE9">
      <w:pPr>
        <w:jc w:val="center"/>
        <w:rPr>
          <w:rFonts w:asciiTheme="minorHAnsi" w:hAnsiTheme="minorHAnsi" w:cstheme="minorHAnsi"/>
          <w:sz w:val="24"/>
          <w:szCs w:val="24"/>
        </w:rPr>
      </w:pPr>
      <w:r>
        <w:rPr>
          <w:rFonts w:asciiTheme="minorHAnsi" w:hAnsiTheme="minorHAnsi" w:cstheme="minorHAnsi"/>
          <w:sz w:val="24"/>
          <w:szCs w:val="24"/>
        </w:rPr>
        <w:t xml:space="preserve">(dále jen </w:t>
      </w:r>
      <w:r>
        <w:rPr>
          <w:rFonts w:asciiTheme="minorHAnsi" w:hAnsiTheme="minorHAnsi" w:cstheme="minorHAnsi"/>
          <w:b/>
          <w:bCs/>
          <w:sz w:val="24"/>
          <w:szCs w:val="24"/>
        </w:rPr>
        <w:t>„smlouva“</w:t>
      </w:r>
      <w:r>
        <w:rPr>
          <w:rFonts w:asciiTheme="minorHAnsi" w:hAnsiTheme="minorHAnsi" w:cstheme="minorHAnsi"/>
          <w:sz w:val="24"/>
          <w:szCs w:val="24"/>
        </w:rPr>
        <w:t>)</w:t>
      </w:r>
    </w:p>
    <w:p w14:paraId="3576AE85" w14:textId="77777777" w:rsidR="001D5DE9" w:rsidRDefault="001D5DE9" w:rsidP="001D5DE9">
      <w:pPr>
        <w:rPr>
          <w:rFonts w:asciiTheme="minorHAnsi" w:hAnsiTheme="minorHAnsi" w:cstheme="minorHAnsi"/>
          <w:b/>
          <w:bCs/>
          <w:sz w:val="24"/>
          <w:szCs w:val="24"/>
        </w:rPr>
      </w:pPr>
    </w:p>
    <w:p w14:paraId="2511FC22" w14:textId="77777777" w:rsidR="001D5DE9" w:rsidRDefault="001D5DE9" w:rsidP="001D5DE9">
      <w:pPr>
        <w:rPr>
          <w:rFonts w:asciiTheme="minorHAnsi" w:hAnsiTheme="minorHAnsi" w:cstheme="minorHAnsi"/>
          <w:b/>
          <w:bCs/>
          <w:sz w:val="24"/>
          <w:szCs w:val="24"/>
        </w:rPr>
      </w:pPr>
    </w:p>
    <w:p w14:paraId="3E0279B2" w14:textId="77777777" w:rsidR="001D5DE9" w:rsidRDefault="001D5DE9" w:rsidP="001D5DE9">
      <w:pPr>
        <w:tabs>
          <w:tab w:val="left" w:pos="288"/>
          <w:tab w:val="left" w:pos="709"/>
        </w:tabs>
        <w:jc w:val="center"/>
        <w:rPr>
          <w:rFonts w:asciiTheme="minorHAnsi" w:hAnsiTheme="minorHAnsi" w:cstheme="minorHAnsi"/>
          <w:b/>
          <w:bCs/>
          <w:sz w:val="24"/>
          <w:szCs w:val="24"/>
        </w:rPr>
      </w:pPr>
      <w:r>
        <w:rPr>
          <w:rFonts w:asciiTheme="minorHAnsi" w:hAnsiTheme="minorHAnsi" w:cstheme="minorHAnsi"/>
          <w:b/>
          <w:bCs/>
          <w:sz w:val="24"/>
          <w:szCs w:val="24"/>
        </w:rPr>
        <w:t>I.</w:t>
      </w:r>
      <w:r>
        <w:rPr>
          <w:rFonts w:asciiTheme="minorHAnsi" w:hAnsiTheme="minorHAnsi" w:cstheme="minorHAnsi"/>
          <w:b/>
          <w:bCs/>
          <w:sz w:val="24"/>
          <w:szCs w:val="24"/>
        </w:rPr>
        <w:tab/>
      </w:r>
    </w:p>
    <w:p w14:paraId="0003773D" w14:textId="77777777" w:rsidR="001D5DE9" w:rsidRDefault="001D5DE9" w:rsidP="001D5DE9">
      <w:pPr>
        <w:tabs>
          <w:tab w:val="left" w:pos="288"/>
          <w:tab w:val="left" w:pos="709"/>
        </w:tabs>
        <w:jc w:val="center"/>
        <w:rPr>
          <w:rFonts w:asciiTheme="minorHAnsi" w:hAnsiTheme="minorHAnsi" w:cstheme="minorHAnsi"/>
          <w:b/>
          <w:bCs/>
          <w:sz w:val="24"/>
          <w:szCs w:val="24"/>
        </w:rPr>
      </w:pPr>
      <w:r>
        <w:rPr>
          <w:rFonts w:asciiTheme="minorHAnsi" w:hAnsiTheme="minorHAnsi" w:cstheme="minorHAnsi"/>
          <w:b/>
          <w:bCs/>
          <w:sz w:val="24"/>
          <w:szCs w:val="24"/>
        </w:rPr>
        <w:t>PREAMBULE</w:t>
      </w:r>
    </w:p>
    <w:p w14:paraId="2001FCE9" w14:textId="5933CE53" w:rsidR="001D5DE9" w:rsidRDefault="001D5DE9" w:rsidP="001D5DE9">
      <w:pPr>
        <w:numPr>
          <w:ilvl w:val="0"/>
          <w:numId w:val="1"/>
        </w:numPr>
        <w:spacing w:after="120" w:line="240" w:lineRule="auto"/>
        <w:ind w:left="425" w:hanging="425"/>
        <w:jc w:val="both"/>
        <w:rPr>
          <w:rFonts w:asciiTheme="minorHAnsi" w:hAnsiTheme="minorHAnsi" w:cstheme="minorHAnsi"/>
          <w:sz w:val="24"/>
          <w:szCs w:val="24"/>
        </w:rPr>
      </w:pPr>
      <w:bookmarkStart w:id="0" w:name="_Hlk519263673"/>
      <w:r>
        <w:rPr>
          <w:rFonts w:asciiTheme="minorHAnsi" w:hAnsiTheme="minorHAnsi" w:cstheme="minorHAnsi"/>
          <w:sz w:val="24"/>
          <w:szCs w:val="24"/>
        </w:rPr>
        <w:t>Budoucí odběratel je výlučným vlastníkem řady pozemků, jejich součástí a příslušenství tvořících areál jeho provozovny nacházející se na adrese 3. května 421, 513 01 Semily</w:t>
      </w:r>
      <w:r>
        <w:rPr>
          <w:rFonts w:asciiTheme="minorHAnsi" w:hAnsiTheme="minorHAnsi"/>
        </w:rPr>
        <w:t xml:space="preserve"> </w:t>
      </w:r>
      <w:r w:rsidRPr="004229CC">
        <w:rPr>
          <w:rFonts w:asciiTheme="minorHAnsi" w:hAnsiTheme="minorHAnsi"/>
          <w:sz w:val="24"/>
          <w:szCs w:val="24"/>
        </w:rPr>
        <w:t>(dále též jen „</w:t>
      </w:r>
      <w:r w:rsidRPr="004229CC">
        <w:rPr>
          <w:rFonts w:asciiTheme="minorHAnsi" w:hAnsiTheme="minorHAnsi"/>
          <w:b/>
          <w:sz w:val="24"/>
          <w:szCs w:val="24"/>
        </w:rPr>
        <w:t>Provozovna</w:t>
      </w:r>
      <w:r w:rsidRPr="004229CC">
        <w:rPr>
          <w:rFonts w:asciiTheme="minorHAnsi" w:hAnsiTheme="minorHAnsi"/>
          <w:sz w:val="24"/>
          <w:szCs w:val="24"/>
        </w:rPr>
        <w:t xml:space="preserve">“); kromě jiného je tak výlučným vlastníkem pozemku </w:t>
      </w:r>
      <w:r w:rsidRPr="004229CC">
        <w:rPr>
          <w:rFonts w:asciiTheme="minorHAnsi" w:hAnsiTheme="minorHAnsi" w:cstheme="minorHAnsi"/>
          <w:sz w:val="24"/>
          <w:szCs w:val="24"/>
        </w:rPr>
        <w:t xml:space="preserve">p. č. 524/2 v k. </w:t>
      </w:r>
      <w:proofErr w:type="spellStart"/>
      <w:r w:rsidRPr="004229CC">
        <w:rPr>
          <w:rFonts w:asciiTheme="minorHAnsi" w:hAnsiTheme="minorHAnsi" w:cstheme="minorHAnsi"/>
          <w:sz w:val="24"/>
          <w:szCs w:val="24"/>
        </w:rPr>
        <w:lastRenderedPageBreak/>
        <w:t>ú.</w:t>
      </w:r>
      <w:proofErr w:type="spellEnd"/>
      <w:r w:rsidRPr="004229CC">
        <w:rPr>
          <w:rFonts w:asciiTheme="minorHAnsi" w:hAnsiTheme="minorHAnsi" w:cstheme="minorHAnsi"/>
          <w:sz w:val="24"/>
          <w:szCs w:val="24"/>
        </w:rPr>
        <w:t xml:space="preserve"> Semily - zastavěná plocha a nádvoří (dále též jen „</w:t>
      </w:r>
      <w:r w:rsidRPr="004229CC">
        <w:rPr>
          <w:rFonts w:asciiTheme="minorHAnsi" w:hAnsiTheme="minorHAnsi" w:cstheme="minorHAnsi"/>
          <w:b/>
          <w:sz w:val="24"/>
          <w:szCs w:val="24"/>
        </w:rPr>
        <w:t>Pozemek</w:t>
      </w:r>
      <w:r w:rsidRPr="004229CC">
        <w:rPr>
          <w:rFonts w:asciiTheme="minorHAnsi" w:hAnsiTheme="minorHAnsi" w:cstheme="minorHAnsi"/>
          <w:sz w:val="24"/>
          <w:szCs w:val="24"/>
        </w:rPr>
        <w:t>“), jehož součástí je budova bez č. p. nebo e. - stavba technického vybavení (dále též jen „</w:t>
      </w:r>
      <w:r w:rsidRPr="004229CC">
        <w:rPr>
          <w:rFonts w:asciiTheme="minorHAnsi" w:hAnsiTheme="minorHAnsi" w:cstheme="minorHAnsi"/>
          <w:b/>
          <w:sz w:val="24"/>
          <w:szCs w:val="24"/>
        </w:rPr>
        <w:t>Budova</w:t>
      </w:r>
      <w:r w:rsidRPr="004229CC">
        <w:rPr>
          <w:rFonts w:asciiTheme="minorHAnsi" w:hAnsiTheme="minorHAnsi" w:cstheme="minorHAnsi"/>
          <w:sz w:val="24"/>
          <w:szCs w:val="24"/>
        </w:rPr>
        <w:t>“).</w:t>
      </w:r>
      <w:r>
        <w:rPr>
          <w:rFonts w:asciiTheme="minorHAnsi" w:hAnsiTheme="minorHAnsi" w:cstheme="minorHAnsi"/>
        </w:rPr>
        <w:t xml:space="preserve"> </w:t>
      </w:r>
    </w:p>
    <w:bookmarkEnd w:id="0"/>
    <w:p w14:paraId="07502E65" w14:textId="08134C70" w:rsidR="001D5DE9" w:rsidRDefault="001D5DE9" w:rsidP="001D5DE9">
      <w:pPr>
        <w:pStyle w:val="Odstavecseseznamem"/>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Budoucí odběratel a budoucí dodavatel uzavřeli dnešního dne Smlouvu o nájmu prostoru sloužícího podnikání (dále též jen „</w:t>
      </w:r>
      <w:r>
        <w:rPr>
          <w:rFonts w:asciiTheme="minorHAnsi" w:hAnsiTheme="minorHAnsi" w:cstheme="minorHAnsi"/>
          <w:b/>
          <w:i/>
          <w:sz w:val="24"/>
          <w:szCs w:val="24"/>
        </w:rPr>
        <w:t>Smlouva o nájmu</w:t>
      </w:r>
      <w:r>
        <w:rPr>
          <w:rFonts w:asciiTheme="minorHAnsi" w:hAnsiTheme="minorHAnsi" w:cstheme="minorHAnsi"/>
          <w:sz w:val="24"/>
          <w:szCs w:val="24"/>
        </w:rPr>
        <w:t xml:space="preserve">“), na jejímž základě budoucí odběratel přenechává budoucímu dodavateli do užívání </w:t>
      </w:r>
      <w:r w:rsidR="006C29FE">
        <w:rPr>
          <w:rFonts w:asciiTheme="minorHAnsi" w:hAnsiTheme="minorHAnsi" w:cstheme="minorHAnsi"/>
          <w:sz w:val="24"/>
          <w:szCs w:val="24"/>
        </w:rPr>
        <w:t>Budovu nebo její část</w:t>
      </w:r>
      <w:r>
        <w:rPr>
          <w:rFonts w:asciiTheme="minorHAnsi" w:hAnsiTheme="minorHAnsi" w:cstheme="minorHAnsi"/>
          <w:sz w:val="24"/>
          <w:szCs w:val="24"/>
        </w:rPr>
        <w:t xml:space="preserve"> specifikovanou Smlouvou o nájmu (dále též jen „</w:t>
      </w:r>
      <w:r>
        <w:rPr>
          <w:rFonts w:asciiTheme="minorHAnsi" w:hAnsiTheme="minorHAnsi" w:cstheme="minorHAnsi"/>
          <w:b/>
          <w:i/>
          <w:sz w:val="24"/>
          <w:szCs w:val="24"/>
        </w:rPr>
        <w:t>Předmět nájmu</w:t>
      </w:r>
      <w:r>
        <w:rPr>
          <w:rFonts w:asciiTheme="minorHAnsi" w:hAnsiTheme="minorHAnsi" w:cstheme="minorHAnsi"/>
          <w:sz w:val="24"/>
          <w:szCs w:val="24"/>
        </w:rPr>
        <w:t xml:space="preserve">“). </w:t>
      </w:r>
    </w:p>
    <w:p w14:paraId="2A109F63" w14:textId="77777777" w:rsidR="001D5DE9" w:rsidRDefault="001D5DE9" w:rsidP="001D5DE9">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Budoucí dodavatel je obchodní společností podnikající mimo jiné v oblasti výroby a rozvodu tepelné energie, a to zejména ze zdrojů kombinované výroby elektřiny a tepla (dále též jen „</w:t>
      </w:r>
      <w:r>
        <w:rPr>
          <w:rFonts w:asciiTheme="minorHAnsi" w:hAnsiTheme="minorHAnsi" w:cstheme="minorHAnsi"/>
          <w:b/>
          <w:i/>
          <w:sz w:val="24"/>
          <w:szCs w:val="24"/>
        </w:rPr>
        <w:t>Zdroj KVET</w:t>
      </w:r>
      <w:r>
        <w:rPr>
          <w:rFonts w:asciiTheme="minorHAnsi" w:hAnsiTheme="minorHAnsi" w:cstheme="minorHAnsi"/>
          <w:sz w:val="24"/>
          <w:szCs w:val="24"/>
        </w:rPr>
        <w:t xml:space="preserve">“). Budoucí odběratel je podnikatelským subjektem, který má zájem o dodávky tepelné energie pro účely jejího využití, a budoucí dodavatel má zájem tepelnou energii vyrobenou ve Zdroji KVET budoucímu odběrateli pro tento účel dodávat. </w:t>
      </w:r>
    </w:p>
    <w:p w14:paraId="5ABF6E1F" w14:textId="1B610402" w:rsidR="001D5DE9" w:rsidRDefault="001D5DE9" w:rsidP="001D5DE9">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Dodávky tepelné energie budoucímu odběrateli, a to v objemu alespoň </w:t>
      </w:r>
      <w:r w:rsidR="0072076C">
        <w:rPr>
          <w:rFonts w:asciiTheme="minorHAnsi" w:hAnsiTheme="minorHAnsi" w:cstheme="minorHAnsi"/>
          <w:sz w:val="24"/>
          <w:szCs w:val="24"/>
        </w:rPr>
        <w:t>2700</w:t>
      </w:r>
      <w:r>
        <w:rPr>
          <w:rFonts w:asciiTheme="minorHAnsi" w:hAnsiTheme="minorHAnsi" w:cstheme="minorHAnsi"/>
          <w:sz w:val="24"/>
          <w:szCs w:val="24"/>
        </w:rPr>
        <w:t xml:space="preserve"> GJ/rok, budou realizovány z nově vybudovaného Zdroje KVET ve vlastnictví budoucího dodavatele, když tento zdroj bude budoucím dodavatelem zřízen v Provozovně. Budoucí dodavatel bude Zdroj KVET instalovat</w:t>
      </w:r>
      <w:r w:rsidR="00376C21">
        <w:rPr>
          <w:rFonts w:asciiTheme="minorHAnsi" w:hAnsiTheme="minorHAnsi" w:cstheme="minorHAnsi"/>
          <w:sz w:val="24"/>
          <w:szCs w:val="24"/>
        </w:rPr>
        <w:t>/</w:t>
      </w:r>
      <w:r w:rsidR="00CA3A45">
        <w:rPr>
          <w:rFonts w:asciiTheme="minorHAnsi" w:hAnsiTheme="minorHAnsi" w:cstheme="minorHAnsi"/>
          <w:sz w:val="24"/>
          <w:szCs w:val="24"/>
        </w:rPr>
        <w:t>budovat</w:t>
      </w:r>
      <w:r>
        <w:rPr>
          <w:rFonts w:asciiTheme="minorHAnsi" w:hAnsiTheme="minorHAnsi" w:cstheme="minorHAnsi"/>
          <w:sz w:val="24"/>
          <w:szCs w:val="24"/>
        </w:rPr>
        <w:t xml:space="preserve"> zejména na základě Smlouvy o nájmu a na základě této smlouvy s předpokládaným termínem zahájení dodávek tepelné energie </w:t>
      </w:r>
      <w:r w:rsidR="004229CC" w:rsidRPr="004229CC">
        <w:rPr>
          <w:rFonts w:asciiTheme="minorHAnsi" w:hAnsiTheme="minorHAnsi" w:cstheme="minorHAnsi"/>
          <w:b/>
          <w:sz w:val="24"/>
          <w:szCs w:val="24"/>
        </w:rPr>
        <w:t>do 18 měsíců ode dne nabytí účinnosti této smlouvy</w:t>
      </w:r>
      <w:r>
        <w:rPr>
          <w:rFonts w:asciiTheme="minorHAnsi" w:hAnsiTheme="minorHAnsi" w:cstheme="minorHAnsi"/>
          <w:sz w:val="24"/>
          <w:szCs w:val="24"/>
        </w:rPr>
        <w:t xml:space="preserve">.  </w:t>
      </w:r>
    </w:p>
    <w:p w14:paraId="7CF07296" w14:textId="77777777" w:rsidR="001D5DE9" w:rsidRDefault="001D5DE9" w:rsidP="001D5DE9">
      <w:pPr>
        <w:ind w:left="357"/>
        <w:rPr>
          <w:rFonts w:asciiTheme="minorHAnsi" w:hAnsiTheme="minorHAnsi" w:cstheme="minorHAnsi"/>
          <w:sz w:val="24"/>
          <w:szCs w:val="24"/>
        </w:rPr>
      </w:pPr>
      <w:r>
        <w:rPr>
          <w:rFonts w:asciiTheme="minorHAnsi" w:hAnsiTheme="minorHAnsi" w:cstheme="minorHAnsi"/>
          <w:sz w:val="24"/>
          <w:szCs w:val="24"/>
        </w:rPr>
        <w:t>Zdrojem KVET se pro účely této smlouvy rozumí komplexní zařízení zahrnující zejména:</w:t>
      </w:r>
    </w:p>
    <w:p w14:paraId="2F68EC6A" w14:textId="276626AE" w:rsidR="001D5DE9" w:rsidRDefault="001D5DE9" w:rsidP="001D5DE9">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samotné zařízení pro kombinovanou výrobu elektřiny a tepla – kogenerační jednotku - typu </w:t>
      </w:r>
      <w:proofErr w:type="spellStart"/>
      <w:r>
        <w:rPr>
          <w:rFonts w:asciiTheme="minorHAnsi" w:hAnsiTheme="minorHAnsi" w:cstheme="minorHAnsi"/>
          <w:sz w:val="24"/>
          <w:szCs w:val="24"/>
          <w:highlight w:val="yellow"/>
        </w:rPr>
        <w:t>Xxxxxxxx</w:t>
      </w:r>
      <w:proofErr w:type="spellEnd"/>
      <w:r>
        <w:rPr>
          <w:rFonts w:asciiTheme="minorHAnsi" w:hAnsiTheme="minorHAnsi" w:cstheme="minorHAnsi"/>
          <w:sz w:val="24"/>
          <w:szCs w:val="24"/>
          <w:highlight w:val="yellow"/>
        </w:rPr>
        <w:t xml:space="preserve"> DXXXX</w:t>
      </w:r>
      <w:r>
        <w:rPr>
          <w:rFonts w:asciiTheme="minorHAnsi" w:hAnsiTheme="minorHAnsi" w:cstheme="minorHAnsi"/>
          <w:sz w:val="24"/>
          <w:szCs w:val="24"/>
        </w:rPr>
        <w:t xml:space="preserve"> o výkonu </w:t>
      </w:r>
      <w:r>
        <w:rPr>
          <w:rFonts w:asciiTheme="minorHAnsi" w:hAnsiTheme="minorHAnsi" w:cstheme="minorHAnsi"/>
          <w:sz w:val="24"/>
          <w:szCs w:val="24"/>
          <w:highlight w:val="yellow"/>
        </w:rPr>
        <w:t>XXXX</w:t>
      </w:r>
      <w:r>
        <w:rPr>
          <w:rFonts w:asciiTheme="minorHAnsi" w:hAnsiTheme="minorHAnsi" w:cstheme="minorHAnsi"/>
          <w:sz w:val="24"/>
          <w:szCs w:val="24"/>
        </w:rPr>
        <w:t xml:space="preserve"> </w:t>
      </w:r>
      <w:proofErr w:type="spellStart"/>
      <w:r>
        <w:rPr>
          <w:rFonts w:asciiTheme="minorHAnsi" w:hAnsiTheme="minorHAnsi" w:cstheme="minorHAnsi"/>
          <w:sz w:val="24"/>
          <w:szCs w:val="24"/>
        </w:rPr>
        <w:t>kWe</w:t>
      </w:r>
      <w:proofErr w:type="spellEnd"/>
      <w:r w:rsidR="00852CD6">
        <w:rPr>
          <w:rFonts w:asciiTheme="minorHAnsi" w:hAnsiTheme="minorHAnsi" w:cstheme="minorHAnsi"/>
          <w:sz w:val="24"/>
          <w:szCs w:val="24"/>
        </w:rPr>
        <w:t>, která bude umístěna v Předmětu nájmu</w:t>
      </w:r>
      <w:r>
        <w:rPr>
          <w:rFonts w:asciiTheme="minorHAnsi" w:hAnsiTheme="minorHAnsi" w:cstheme="minorHAnsi"/>
          <w:sz w:val="24"/>
          <w:szCs w:val="24"/>
        </w:rPr>
        <w:t xml:space="preserve"> (dále jen „</w:t>
      </w:r>
      <w:r>
        <w:rPr>
          <w:rFonts w:asciiTheme="minorHAnsi" w:hAnsiTheme="minorHAnsi" w:cstheme="minorHAnsi"/>
          <w:b/>
          <w:i/>
          <w:sz w:val="24"/>
          <w:szCs w:val="24"/>
        </w:rPr>
        <w:t>KGJ</w:t>
      </w:r>
      <w:r>
        <w:rPr>
          <w:rFonts w:asciiTheme="minorHAnsi" w:hAnsiTheme="minorHAnsi" w:cstheme="minorHAnsi"/>
          <w:sz w:val="24"/>
          <w:szCs w:val="24"/>
        </w:rPr>
        <w:t>“),</w:t>
      </w:r>
    </w:p>
    <w:p w14:paraId="6742652A" w14:textId="77777777" w:rsidR="001D5DE9" w:rsidRDefault="001D5DE9" w:rsidP="001D5DE9">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teplovodní rozvody </w:t>
      </w:r>
      <w:bookmarkStart w:id="1" w:name="Text90"/>
      <w:r>
        <w:rPr>
          <w:rFonts w:asciiTheme="minorHAnsi" w:hAnsiTheme="minorHAnsi"/>
          <w:sz w:val="24"/>
          <w:szCs w:val="24"/>
        </w:rPr>
        <w:t>(</w:t>
      </w:r>
      <w:r>
        <w:fldChar w:fldCharType="begin"/>
      </w:r>
      <w:r>
        <w:rPr>
          <w:rFonts w:asciiTheme="minorHAnsi" w:hAnsiTheme="minorHAnsi"/>
          <w:sz w:val="24"/>
          <w:szCs w:val="24"/>
        </w:rPr>
        <w:instrText xml:space="preserve"> FILLIN "Text90" </w:instrText>
      </w:r>
      <w:r>
        <w:fldChar w:fldCharType="separate"/>
      </w:r>
      <w:r>
        <w:rPr>
          <w:rFonts w:asciiTheme="minorHAnsi" w:hAnsiTheme="minorHAnsi"/>
          <w:sz w:val="24"/>
          <w:szCs w:val="24"/>
        </w:rPr>
        <w:t>včetně akumulační nádoby</w:t>
      </w:r>
      <w:r>
        <w:fldChar w:fldCharType="end"/>
      </w:r>
      <w:bookmarkEnd w:id="1"/>
      <w:r>
        <w:rPr>
          <w:rFonts w:asciiTheme="minorHAnsi" w:hAnsiTheme="minorHAnsi"/>
          <w:sz w:val="24"/>
          <w:szCs w:val="24"/>
        </w:rPr>
        <w:t>)</w:t>
      </w:r>
      <w:r>
        <w:rPr>
          <w:rFonts w:asciiTheme="minorHAnsi" w:hAnsiTheme="minorHAnsi"/>
          <w:color w:val="000000"/>
          <w:sz w:val="24"/>
          <w:szCs w:val="24"/>
        </w:rPr>
        <w:t xml:space="preserve"> pro vyvedení tepelné energie z KGJ do tepelných zařízení odběratele tepelné energie</w:t>
      </w:r>
      <w:r>
        <w:rPr>
          <w:rFonts w:asciiTheme="minorHAnsi" w:hAnsiTheme="minorHAnsi" w:cstheme="minorHAnsi"/>
          <w:sz w:val="24"/>
          <w:szCs w:val="24"/>
        </w:rPr>
        <w:t xml:space="preserve"> (dále jen „</w:t>
      </w:r>
      <w:r>
        <w:rPr>
          <w:rFonts w:asciiTheme="minorHAnsi" w:hAnsiTheme="minorHAnsi" w:cstheme="minorHAnsi"/>
          <w:b/>
          <w:i/>
          <w:sz w:val="24"/>
          <w:szCs w:val="24"/>
        </w:rPr>
        <w:t>Rozvodné tepelné zařízení</w:t>
      </w:r>
      <w:r>
        <w:rPr>
          <w:rFonts w:asciiTheme="minorHAnsi" w:hAnsiTheme="minorHAnsi" w:cstheme="minorHAnsi"/>
          <w:sz w:val="24"/>
          <w:szCs w:val="24"/>
        </w:rPr>
        <w:t xml:space="preserve">“), </w:t>
      </w:r>
    </w:p>
    <w:p w14:paraId="792FE11C" w14:textId="77777777" w:rsidR="001D5DE9" w:rsidRDefault="001D5DE9" w:rsidP="001D5DE9">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elektrické rozvody pro vyvedení elektřiny </w:t>
      </w:r>
      <w:r>
        <w:rPr>
          <w:rFonts w:asciiTheme="minorHAnsi" w:hAnsiTheme="minorHAnsi"/>
          <w:color w:val="000000"/>
          <w:sz w:val="24"/>
          <w:szCs w:val="24"/>
        </w:rPr>
        <w:t xml:space="preserve">(včetně trafostanice) </w:t>
      </w:r>
      <w:r>
        <w:rPr>
          <w:rFonts w:asciiTheme="minorHAnsi" w:hAnsiTheme="minorHAnsi" w:cstheme="minorHAnsi"/>
          <w:sz w:val="24"/>
          <w:szCs w:val="24"/>
        </w:rPr>
        <w:t>do distribuční sítě (dále jen „</w:t>
      </w:r>
      <w:r>
        <w:rPr>
          <w:rFonts w:asciiTheme="minorHAnsi" w:hAnsiTheme="minorHAnsi" w:cstheme="minorHAnsi"/>
          <w:b/>
          <w:i/>
          <w:sz w:val="24"/>
          <w:szCs w:val="24"/>
        </w:rPr>
        <w:t>Rozvody elektřiny</w:t>
      </w:r>
      <w:r>
        <w:rPr>
          <w:rFonts w:asciiTheme="minorHAnsi" w:hAnsiTheme="minorHAnsi" w:cstheme="minorHAnsi"/>
          <w:sz w:val="24"/>
          <w:szCs w:val="24"/>
        </w:rPr>
        <w:t>“),</w:t>
      </w:r>
    </w:p>
    <w:p w14:paraId="3CDBDBBE" w14:textId="77777777" w:rsidR="001D5DE9" w:rsidRDefault="001D5DE9" w:rsidP="001D5DE9">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rozvod zemního plynu a dalších médií nezbytných pro provoz obou KGJ (dále jen „</w:t>
      </w:r>
      <w:r>
        <w:rPr>
          <w:rFonts w:asciiTheme="minorHAnsi" w:hAnsiTheme="minorHAnsi" w:cstheme="minorHAnsi"/>
          <w:b/>
          <w:i/>
          <w:sz w:val="24"/>
          <w:szCs w:val="24"/>
        </w:rPr>
        <w:t>Rozvody médií</w:t>
      </w:r>
      <w:r>
        <w:rPr>
          <w:rFonts w:asciiTheme="minorHAnsi" w:hAnsiTheme="minorHAnsi" w:cstheme="minorHAnsi"/>
          <w:sz w:val="24"/>
          <w:szCs w:val="24"/>
        </w:rPr>
        <w:t>“).</w:t>
      </w:r>
    </w:p>
    <w:p w14:paraId="5989E981" w14:textId="77777777" w:rsidR="001D5DE9" w:rsidRDefault="001D5DE9" w:rsidP="001D5DE9">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Budoucí dodavatel tak touto smlouvou přebírá budoucí závazek dodávat budoucímu odběrateli tepelnou energii vyrobenou ve Zdroji KVET a budoucí odběratel přebírá budoucí závazek tepelnou energii ze Zdroje KVET odebírat, a to za podmínek sjednaných smluvními stranami ve Smlouvě o dodávce tepelné energie (dále jen „</w:t>
      </w:r>
      <w:r>
        <w:rPr>
          <w:rFonts w:asciiTheme="minorHAnsi" w:hAnsiTheme="minorHAnsi" w:cstheme="minorHAnsi"/>
          <w:b/>
          <w:i/>
          <w:sz w:val="24"/>
          <w:szCs w:val="24"/>
        </w:rPr>
        <w:t>Smlouva o dodávce tepelné energie</w:t>
      </w:r>
      <w:r>
        <w:rPr>
          <w:rFonts w:asciiTheme="minorHAnsi" w:hAnsiTheme="minorHAnsi" w:cstheme="minorHAnsi"/>
          <w:sz w:val="24"/>
          <w:szCs w:val="24"/>
        </w:rPr>
        <w:t>“), kterou smluvní strany uzavřou za podmínek sjednaných v této smlouvě. Smluvní strany touto smlouvou rovněž závazně sjednávají podmínky výstavby Zdroje KVET pro účely výroby tepelné energie dodávané následně na základě Smlouvy o dodávce tepelné energie.</w:t>
      </w:r>
    </w:p>
    <w:p w14:paraId="1ACFDFC5" w14:textId="77777777" w:rsidR="001D5DE9" w:rsidRDefault="001D5DE9" w:rsidP="001D5DE9">
      <w:pPr>
        <w:pStyle w:val="Nadpis2"/>
        <w:numPr>
          <w:ilvl w:val="0"/>
          <w:numId w:val="3"/>
        </w:numPr>
        <w:spacing w:after="0"/>
        <w:rPr>
          <w:rFonts w:asciiTheme="minorHAnsi" w:hAnsiTheme="minorHAnsi" w:cstheme="minorHAnsi"/>
          <w:sz w:val="24"/>
          <w:szCs w:val="24"/>
        </w:rPr>
      </w:pPr>
    </w:p>
    <w:p w14:paraId="33C83D3E" w14:textId="77777777" w:rsidR="001D5DE9" w:rsidRDefault="001D5DE9" w:rsidP="001D5DE9">
      <w:pPr>
        <w:pStyle w:val="Nadpis2"/>
        <w:spacing w:before="0"/>
        <w:ind w:firstLine="357"/>
        <w:rPr>
          <w:rFonts w:asciiTheme="minorHAnsi" w:hAnsiTheme="minorHAnsi" w:cstheme="minorHAnsi"/>
          <w:sz w:val="24"/>
          <w:szCs w:val="24"/>
        </w:rPr>
      </w:pPr>
      <w:r>
        <w:rPr>
          <w:rFonts w:asciiTheme="minorHAnsi" w:hAnsiTheme="minorHAnsi" w:cstheme="minorHAnsi"/>
          <w:sz w:val="24"/>
          <w:szCs w:val="24"/>
        </w:rPr>
        <w:t>práva a povinnosti smluvních stran</w:t>
      </w:r>
    </w:p>
    <w:p w14:paraId="23E2419A"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Budoucí dodavatel vyzve budoucího odběratele k uzavření Smlouvy o dodávce tepelné energie, jejíž obsah (včetně příloh) se závazně sjednává v Příloze I k této smlouvě, a to ve lhůtě 30 dnů před zahájením dodávek tepelné energie ze Zdroje KVET. </w:t>
      </w:r>
    </w:p>
    <w:p w14:paraId="39FB6EC3"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 xml:space="preserve">Budoucí odběratel se zavazuje, že Smlouvu o dodávce tepelné energie uzavře do 10 dnů ode dne, kdy mu budoucí dodavatel doručí návrh Smlouvy o dodávce tepelné energie ve znění uvedeném v Příloze I této smlouvy. </w:t>
      </w:r>
    </w:p>
    <w:p w14:paraId="7DD5030E"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Návrh Smlouvy o dodávce tepelné energie bude doručen na adresu budoucího odběratele uvedenou v záhlaví této smlouvy. </w:t>
      </w:r>
    </w:p>
    <w:p w14:paraId="6FE33694" w14:textId="77777777" w:rsidR="001D5DE9" w:rsidRDefault="001D5DE9" w:rsidP="001D5DE9">
      <w:pPr>
        <w:spacing w:after="120" w:line="240" w:lineRule="auto"/>
        <w:ind w:left="357"/>
        <w:jc w:val="both"/>
        <w:rPr>
          <w:rFonts w:asciiTheme="minorHAnsi" w:hAnsiTheme="minorHAnsi" w:cstheme="minorHAnsi"/>
          <w:sz w:val="24"/>
          <w:szCs w:val="24"/>
        </w:rPr>
      </w:pPr>
      <w:r>
        <w:rPr>
          <w:rFonts w:asciiTheme="minorHAnsi" w:hAnsiTheme="minorHAnsi" w:cstheme="minorHAnsi"/>
          <w:sz w:val="24"/>
          <w:szCs w:val="24"/>
        </w:rPr>
        <w:t xml:space="preserve">Dojde-li v mezidobí ke změně sídla budoucího odběratele, je budoucí odběratel povinen tuto změnu bez zbytečného odkladu budoucímu dodavateli písemně sdělit. Pokud tak neučiní, považuje se za aktuální dosavadní sídlo (adresa) budoucího odběratele uvedená v záhlaví této smlouvy. Budoucí dodavatel však vždy může zaslat jakoukoli písemnost dle této smlouvy i na adresu sídla budoucího odběratele zapsanou v obchodním či jiném podobném rejstříku. </w:t>
      </w:r>
    </w:p>
    <w:p w14:paraId="7AB1CDC3"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bookmarkStart w:id="2" w:name="ClanekII_ods4"/>
      <w:bookmarkEnd w:id="2"/>
      <w:r>
        <w:rPr>
          <w:rFonts w:asciiTheme="minorHAnsi" w:hAnsiTheme="minorHAnsi" w:cstheme="minorHAnsi"/>
          <w:sz w:val="24"/>
          <w:szCs w:val="24"/>
        </w:rPr>
        <w:t>Zaslání návrhu Smlouvy o dodávce tepelné energie se považuje za výzvu k uzavření Smlouvy o dodávce tepelné energie. V případě, že na základě včasné a řádné výzvy budoucího dodavatele budoucí odběratel neuzavře ve sjednaném termínu Smlouvu o dodávce tepelné energie, je budoucí dodavatel oprávněn od této smlouvy odstoupit (</w:t>
      </w:r>
      <w:proofErr w:type="spellStart"/>
      <w:r>
        <w:rPr>
          <w:rFonts w:asciiTheme="minorHAnsi" w:hAnsiTheme="minorHAnsi" w:cstheme="minorHAnsi"/>
          <w:sz w:val="24"/>
          <w:szCs w:val="24"/>
        </w:rPr>
        <w:t>ust</w:t>
      </w:r>
      <w:proofErr w:type="spellEnd"/>
      <w:r>
        <w:rPr>
          <w:rFonts w:asciiTheme="minorHAnsi" w:hAnsiTheme="minorHAnsi" w:cstheme="minorHAnsi"/>
          <w:sz w:val="24"/>
          <w:szCs w:val="24"/>
        </w:rPr>
        <w:t xml:space="preserve">. § 1787 občanského zákoníku tím není dotčeno). Odstoupení musí být učiněno písemně a doručeno na adresu budoucího odběratele. Odstoupení je účinné okamžikem doručení. </w:t>
      </w:r>
    </w:p>
    <w:p w14:paraId="122FB7BD" w14:textId="77777777" w:rsidR="001D5DE9" w:rsidRDefault="001D5DE9" w:rsidP="001D5DE9">
      <w:pPr>
        <w:spacing w:after="120"/>
        <w:ind w:left="357"/>
        <w:jc w:val="both"/>
        <w:rPr>
          <w:rFonts w:asciiTheme="minorHAnsi" w:hAnsiTheme="minorHAnsi" w:cstheme="minorHAnsi"/>
          <w:sz w:val="24"/>
          <w:szCs w:val="24"/>
        </w:rPr>
      </w:pPr>
      <w:r>
        <w:rPr>
          <w:rFonts w:asciiTheme="minorHAnsi" w:hAnsiTheme="minorHAnsi" w:cstheme="minorHAnsi"/>
          <w:sz w:val="24"/>
          <w:szCs w:val="24"/>
        </w:rPr>
        <w:t>Odstoupením od této smlouvy není dotčeno právo budoucího dodavatele na náhradu škody. Budoucí odběratel tímto prohlašuje, že je mu znám účel této smlouvy a je si vědom toho, že budoucí dodavatel investuje do výstavby Zdroje KVET (a souvisejících stavebních úprav, modernizace či rekonstrukce Budovy nebo technologického zařízení ve vlastnictví budoucího odběratele) finanční prostředky v řádu jednotek až desítek milionů korun českých. Náhrada škody kromě již marně vynaložených nákladů budoucího dodavatele na realizaci Zdroje KVET a úpravu Budovy zahrnuje však i další škodu související s dodatečnými výdaji budoucího dodavatele, včetně výdajů personálních či včetně (očekávaného) ušlého zisku budoucího dodavatele.</w:t>
      </w:r>
    </w:p>
    <w:p w14:paraId="4BA897EA"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se zavazuje:</w:t>
      </w:r>
    </w:p>
    <w:p w14:paraId="1DD8C613" w14:textId="77777777" w:rsidR="001D5DE9" w:rsidRDefault="001D5DE9" w:rsidP="001D5DE9">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zajistit stavební a další veřejnoprávní povolení pro výstavbu Zdroje KVET (resp. pro související stavební úpravy Budovy) a zajistit následně i vše nezbytné pro udělení kolaudačního souhlasu k užívání takovéto stavby,</w:t>
      </w:r>
    </w:p>
    <w:p w14:paraId="2033871E" w14:textId="77777777" w:rsidR="001D5DE9" w:rsidRDefault="001D5DE9" w:rsidP="001D5DE9">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v případě nutnosti zajistit uzavření smluv o smlouvách budoucích o zřízení věcných břemen-služebností/smluv o zřízení věcných břemen-služebností ve prospěch budoucího dodavatele, jejichž předmětem bude zejména oprávnění budoucího dodavatele umístit nezbytnou část Zdroje KVET na jiných nemovitostech budoucího odběratele či třetích osob,</w:t>
      </w:r>
    </w:p>
    <w:p w14:paraId="73D356EC" w14:textId="77777777" w:rsidR="001D5DE9" w:rsidRDefault="001D5DE9" w:rsidP="001D5DE9">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realizovat výstavbu Zdroje KVET dle čl. III. odst. 1 této smlouvy.</w:t>
      </w:r>
    </w:p>
    <w:p w14:paraId="0DBA9173" w14:textId="77777777" w:rsidR="001D5DE9" w:rsidRDefault="001D5DE9" w:rsidP="001D5DE9">
      <w:pPr>
        <w:numPr>
          <w:ilvl w:val="0"/>
          <w:numId w:val="4"/>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Budoucí odběratel se zavazuje poskytnout budoucímu dodavateli potřebnou součinnost při budování Zdroje KVET, získávání výše uvedeného stavebního povolení (jakož i v rámci celého stavebního řízení) a při zajišťování výše uvedených služebností dle odst. 5 písm. b) tohoto článku, a to bezúplatně (není-li ujednáno jinak). Pokud by budoucímu odběrateli byly známy okolnosti, které by bránily zajištění potřebných povolení, kladných stanovisek nebo souhlasů či služebností dle odstavce 5 písm. a) nebo b) tohoto článku, je povinen toto sdělit budoucímu dodavateli. Porušení povinnosti dle tohoto odstavce má stejné důsledky </w:t>
      </w:r>
      <w:r>
        <w:rPr>
          <w:rFonts w:asciiTheme="minorHAnsi" w:hAnsiTheme="minorHAnsi" w:cstheme="minorHAnsi"/>
          <w:sz w:val="24"/>
          <w:szCs w:val="24"/>
        </w:rPr>
        <w:lastRenderedPageBreak/>
        <w:t>jako porušení povinnosti uzavřít Smlouvu o dodávce tepelné energie dle odst. 4 tohoto článku.</w:t>
      </w:r>
    </w:p>
    <w:p w14:paraId="496AAA0A" w14:textId="77777777" w:rsidR="001D5DE9" w:rsidRDefault="001D5DE9" w:rsidP="001D5DE9">
      <w:pPr>
        <w:ind w:left="360"/>
        <w:jc w:val="both"/>
        <w:rPr>
          <w:rFonts w:asciiTheme="minorHAnsi" w:hAnsiTheme="minorHAnsi" w:cstheme="minorHAnsi"/>
          <w:sz w:val="24"/>
          <w:szCs w:val="24"/>
        </w:rPr>
      </w:pPr>
      <w:r>
        <w:rPr>
          <w:rFonts w:asciiTheme="minorHAnsi" w:hAnsiTheme="minorHAnsi" w:cstheme="minorHAnsi"/>
          <w:sz w:val="24"/>
          <w:szCs w:val="24"/>
        </w:rPr>
        <w:t>Pokud budoucí dodavatel nezíská příslušná nezbytná povolení nebo kladná vyjádření, stanoviska či oprávnění související s výstavbu nebo provozováním Zdroje KVET (včetně případných služebností) je oprávněn od této smlouvy odstoupit. V takovémto případě nemá budoucí odběratel vůči budoucímu dodavateli nárok na náhradu škody.</w:t>
      </w:r>
    </w:p>
    <w:p w14:paraId="1C0A237E" w14:textId="77777777" w:rsidR="001D5DE9" w:rsidRDefault="001D5DE9" w:rsidP="001D5DE9">
      <w:pPr>
        <w:pStyle w:val="Nadpis2"/>
        <w:numPr>
          <w:ilvl w:val="0"/>
          <w:numId w:val="3"/>
        </w:numPr>
        <w:spacing w:after="0"/>
        <w:rPr>
          <w:rFonts w:asciiTheme="minorHAnsi" w:hAnsiTheme="minorHAnsi" w:cstheme="minorHAnsi"/>
          <w:sz w:val="24"/>
          <w:szCs w:val="24"/>
        </w:rPr>
      </w:pPr>
    </w:p>
    <w:p w14:paraId="4C0054CA" w14:textId="77777777" w:rsidR="001D5DE9" w:rsidRDefault="001D5DE9" w:rsidP="001D5DE9">
      <w:pPr>
        <w:pStyle w:val="Nadpis2"/>
        <w:spacing w:before="0"/>
        <w:ind w:left="360"/>
        <w:rPr>
          <w:rFonts w:asciiTheme="minorHAnsi" w:hAnsiTheme="minorHAnsi" w:cstheme="minorHAnsi"/>
          <w:sz w:val="24"/>
          <w:szCs w:val="24"/>
        </w:rPr>
      </w:pPr>
      <w:r>
        <w:rPr>
          <w:rFonts w:asciiTheme="minorHAnsi" w:hAnsiTheme="minorHAnsi" w:cstheme="minorHAnsi"/>
          <w:sz w:val="24"/>
          <w:szCs w:val="24"/>
        </w:rPr>
        <w:t>PODMÍNKY UZAVŘENÍ SMLOUVY O DODÁVCE TEPELNÉ ENERGIE</w:t>
      </w:r>
    </w:p>
    <w:p w14:paraId="43C1B62E" w14:textId="77777777" w:rsidR="001D5DE9" w:rsidRDefault="001D5DE9" w:rsidP="001D5DE9">
      <w:pPr>
        <w:numPr>
          <w:ilvl w:val="0"/>
          <w:numId w:val="6"/>
        </w:numPr>
        <w:spacing w:after="120" w:line="240" w:lineRule="auto"/>
        <w:jc w:val="both"/>
        <w:rPr>
          <w:rFonts w:asciiTheme="minorHAnsi" w:hAnsiTheme="minorHAnsi" w:cstheme="minorHAnsi"/>
          <w:sz w:val="24"/>
          <w:szCs w:val="24"/>
        </w:rPr>
      </w:pPr>
      <w:bookmarkStart w:id="3" w:name="_Ref295378890"/>
      <w:r>
        <w:rPr>
          <w:rFonts w:asciiTheme="minorHAnsi" w:hAnsiTheme="minorHAnsi" w:cstheme="minorHAnsi"/>
          <w:sz w:val="24"/>
          <w:szCs w:val="24"/>
        </w:rPr>
        <w:t>Budoucí dodavatel se touto smlouvou zavazuje vybudovat na své náklady Zdroj KVET a umožnit budoucímu odběrateli odběr tepelné energie z tohoto zdroje.</w:t>
      </w:r>
    </w:p>
    <w:p w14:paraId="7976D2A8" w14:textId="77777777" w:rsidR="001D5DE9" w:rsidRDefault="001D5DE9" w:rsidP="001D5DE9">
      <w:pPr>
        <w:numPr>
          <w:ilvl w:val="1"/>
          <w:numId w:val="7"/>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se v rámci výstavby Zdroje KVET zavazuje na vlastní náklady:</w:t>
      </w:r>
    </w:p>
    <w:p w14:paraId="5E7C6FF7" w14:textId="77777777" w:rsidR="001D5DE9" w:rsidRDefault="001D5DE9" w:rsidP="001D5DE9">
      <w:pPr>
        <w:numPr>
          <w:ilvl w:val="2"/>
          <w:numId w:val="6"/>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pořídit a instalovat KGJ,</w:t>
      </w:r>
    </w:p>
    <w:p w14:paraId="66E03729" w14:textId="77777777" w:rsidR="001D5DE9" w:rsidRDefault="001D5DE9" w:rsidP="001D5DE9">
      <w:pPr>
        <w:numPr>
          <w:ilvl w:val="2"/>
          <w:numId w:val="6"/>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Rozvodné tepelné zařízení, a to do tepelného zařízení budoucího odběratele,</w:t>
      </w:r>
    </w:p>
    <w:p w14:paraId="42B11755" w14:textId="77777777" w:rsidR="001D5DE9" w:rsidRDefault="001D5DE9" w:rsidP="001D5DE9">
      <w:pPr>
        <w:numPr>
          <w:ilvl w:val="2"/>
          <w:numId w:val="6"/>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Rozvody elektřiny (vyvedení elektřiny) do distribuční sítě,</w:t>
      </w:r>
    </w:p>
    <w:p w14:paraId="1ED8DFE3" w14:textId="77777777" w:rsidR="001D5DE9" w:rsidRDefault="001D5DE9" w:rsidP="001D5DE9">
      <w:pPr>
        <w:numPr>
          <w:ilvl w:val="2"/>
          <w:numId w:val="6"/>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Rozvody médií ke KGJ (zejména rozvod zemního plynu a užitkové vody),</w:t>
      </w:r>
    </w:p>
    <w:p w14:paraId="0111D04D" w14:textId="77777777" w:rsidR="001D5DE9" w:rsidRDefault="001D5DE9" w:rsidP="001D5DE9">
      <w:pPr>
        <w:numPr>
          <w:ilvl w:val="2"/>
          <w:numId w:val="6"/>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zpracovat příslušnou projektovou dokumentaci.</w:t>
      </w:r>
    </w:p>
    <w:p w14:paraId="2370BC5E" w14:textId="77777777" w:rsidR="001D5DE9" w:rsidRDefault="001D5DE9" w:rsidP="001D5DE9">
      <w:pPr>
        <w:numPr>
          <w:ilvl w:val="1"/>
          <w:numId w:val="7"/>
        </w:numPr>
        <w:spacing w:before="240"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se zavazuje:</w:t>
      </w:r>
    </w:p>
    <w:p w14:paraId="36F723F0" w14:textId="1C45546F" w:rsidR="001D5DE9" w:rsidRDefault="001D5DE9" w:rsidP="001D5DE9">
      <w:pPr>
        <w:numPr>
          <w:ilvl w:val="2"/>
          <w:numId w:val="7"/>
        </w:numPr>
        <w:tabs>
          <w:tab w:val="num" w:pos="-360"/>
        </w:tabs>
        <w:spacing w:after="120" w:line="240" w:lineRule="auto"/>
        <w:ind w:left="1440"/>
        <w:jc w:val="both"/>
        <w:rPr>
          <w:rFonts w:asciiTheme="minorHAnsi" w:hAnsiTheme="minorHAnsi" w:cstheme="minorHAnsi"/>
          <w:sz w:val="24"/>
          <w:szCs w:val="24"/>
          <w:u w:val="single"/>
        </w:rPr>
      </w:pPr>
      <w:r>
        <w:rPr>
          <w:rFonts w:asciiTheme="minorHAnsi" w:hAnsiTheme="minorHAnsi" w:cstheme="minorHAnsi"/>
          <w:sz w:val="24"/>
          <w:szCs w:val="24"/>
        </w:rPr>
        <w:t xml:space="preserve">vytvořit předpoklady pro odběr tepelné energie v rozsahu a parametrech, které umožní započetí odběru tepelné energie ze Zdroje KVET, a to nejpozději </w:t>
      </w:r>
      <w:r w:rsidR="004229CC" w:rsidRPr="004229CC">
        <w:rPr>
          <w:rFonts w:asciiTheme="minorHAnsi" w:hAnsiTheme="minorHAnsi" w:cstheme="minorHAnsi"/>
          <w:b/>
          <w:sz w:val="24"/>
          <w:szCs w:val="24"/>
        </w:rPr>
        <w:t>do 18 měsíců ode dne nabytí účinnosti této smlouvy</w:t>
      </w:r>
      <w:r w:rsidR="004229CC">
        <w:rPr>
          <w:rFonts w:asciiTheme="minorHAnsi" w:hAnsiTheme="minorHAnsi" w:cstheme="minorHAnsi"/>
          <w:sz w:val="24"/>
          <w:szCs w:val="24"/>
        </w:rPr>
        <w:t>.</w:t>
      </w:r>
      <w:r>
        <w:rPr>
          <w:rFonts w:asciiTheme="minorHAnsi" w:hAnsiTheme="minorHAnsi" w:cstheme="minorHAnsi"/>
          <w:sz w:val="24"/>
          <w:szCs w:val="24"/>
        </w:rPr>
        <w:t xml:space="preserve"> Budoucí odběratel v této souvislosti prohlašuje, že má vhodné technické podmínky k výkupu (odběru) tepelné energie z kombinované výroby elektřiny a tepla, zejména požadované vlastnosti vody používané k napájení a provozu tepelného zařízení. Budoucí odběratel zejména zajistí, aby jeho tepelná zařízení byla v době zahájení dodávek tepelné energie budoucím dodavatelem připravena k zahájení odběru tepelné energie. Za tímto účelem se budoucí odběratel zavazuje umožnit na vyzvání budoucího dodavatele kontrolu Nemovitostí a tepelných zařízení za účelem zjištění jejich aktuálního stavu. Tyto kontroly je budoucí dodavatel oprávněn provádět až do doby uzavření Smlouvy o dodávce tepelné energie;</w:t>
      </w:r>
    </w:p>
    <w:p w14:paraId="422A7F99" w14:textId="77777777" w:rsidR="001D5DE9" w:rsidRDefault="001D5DE9" w:rsidP="001D5DE9">
      <w:pPr>
        <w:numPr>
          <w:ilvl w:val="2"/>
          <w:numId w:val="7"/>
        </w:numPr>
        <w:tabs>
          <w:tab w:val="num" w:pos="-360"/>
        </w:tabs>
        <w:spacing w:after="120" w:line="240" w:lineRule="auto"/>
        <w:ind w:left="1440"/>
        <w:jc w:val="both"/>
        <w:rPr>
          <w:rFonts w:asciiTheme="minorHAnsi" w:hAnsiTheme="minorHAnsi" w:cstheme="minorHAnsi"/>
          <w:sz w:val="24"/>
          <w:szCs w:val="24"/>
        </w:rPr>
      </w:pPr>
      <w:r>
        <w:rPr>
          <w:rFonts w:asciiTheme="minorHAnsi" w:hAnsiTheme="minorHAnsi" w:cstheme="minorHAnsi"/>
          <w:sz w:val="24"/>
          <w:szCs w:val="24"/>
        </w:rPr>
        <w:t xml:space="preserve">umožnit budoucímu dodavateli (vedle napojení KGJ na své tepelné zařízení) rovněž napojení KGJ na své odběrné plynové zařízení a zařízení na odběr vody, jakož i k distribuční soustavě elektřiny, pročež, a to před podáním žádostí o územní/stavební povolení ve věci výstavby Zdroje KVET budoucím dodavatelem, uzavře s budoucím dodavatelem (budou-li příslušné rozvody vedeny mimo Předmět nájmu) Smlouvu o budoucí smlouvě o zřízení věcných břemen – služebností inženýrských sítí/ Smlouvu o zřízení věcných břemen – služebností inženýrských sítí, když těmito věcnými břemeny budou zatíženy nemovitosti ve vlastnictví budoucího odběratele, a zvláštní smlouvu, na jejímž základě bude budoucímu dodavateli po dobu provozování KGJ úplatně poskytovat zemní plyn a pitnou vodu (Smlouvu o úplatném poskytování </w:t>
      </w:r>
      <w:r>
        <w:rPr>
          <w:rFonts w:asciiTheme="minorHAnsi" w:hAnsiTheme="minorHAnsi" w:cstheme="minorHAnsi"/>
          <w:sz w:val="24"/>
          <w:szCs w:val="24"/>
        </w:rPr>
        <w:lastRenderedPageBreak/>
        <w:t>(přenechávání a přeúčtovávání) zemního plynu a pitné vody), za kterýmžto účelem zajistí u svého dodavatele zemního plynu a příslušného provozovatele distribuční soustavy zemního plynu nezbytné změny stávajících s nimi uzavřených smluv, a to nejpozději do dvou měsíců po uzavření této smlouvy;</w:t>
      </w:r>
    </w:p>
    <w:p w14:paraId="736DE4CC" w14:textId="77777777" w:rsidR="001D5DE9" w:rsidRPr="006C29FE" w:rsidRDefault="001D5DE9" w:rsidP="001D5DE9">
      <w:pPr>
        <w:numPr>
          <w:ilvl w:val="2"/>
          <w:numId w:val="7"/>
        </w:numPr>
        <w:tabs>
          <w:tab w:val="num" w:pos="-360"/>
        </w:tabs>
        <w:spacing w:after="120" w:line="240" w:lineRule="auto"/>
        <w:ind w:left="1440"/>
        <w:jc w:val="both"/>
        <w:rPr>
          <w:rFonts w:asciiTheme="minorHAnsi" w:hAnsiTheme="minorHAnsi" w:cstheme="minorHAnsi"/>
          <w:sz w:val="24"/>
          <w:szCs w:val="24"/>
        </w:rPr>
      </w:pPr>
      <w:r w:rsidRPr="006C29FE">
        <w:rPr>
          <w:rFonts w:asciiTheme="minorHAnsi" w:hAnsiTheme="minorHAnsi" w:cstheme="minorHAnsi"/>
          <w:sz w:val="24"/>
          <w:szCs w:val="24"/>
        </w:rPr>
        <w:t>zajišťovat svými zaměstnanci nezbytnou obsluhu Zdroje KVET, a to po dobu jeho provozování budoucím dodavatelem, když předmětem této obsluhy budou zejména občasný dozor a kontrola chodu KGJ; za tímto účelem uzavře s budoucím dodavatelem Smlouvu o obsluze kogeneračního zařízení, a to současně se Smlouvou o dodávce tepelné energie podle této smlouvy. Smlouva o obsluze KGJ bude obsahovat běžnou smlouvou, která bude zahrnovat:</w:t>
      </w:r>
    </w:p>
    <w:p w14:paraId="59EF6C9B" w14:textId="77777777" w:rsidR="001D5DE9" w:rsidRPr="006C29FE" w:rsidRDefault="001D5DE9" w:rsidP="001D5DE9">
      <w:pPr>
        <w:pStyle w:val="Odstavecseseznamem"/>
        <w:numPr>
          <w:ilvl w:val="0"/>
          <w:numId w:val="8"/>
        </w:numPr>
        <w:spacing w:after="120" w:line="240" w:lineRule="auto"/>
        <w:ind w:left="1701" w:hanging="283"/>
        <w:jc w:val="both"/>
        <w:rPr>
          <w:rFonts w:asciiTheme="minorHAnsi" w:hAnsiTheme="minorHAnsi" w:cstheme="minorHAnsi"/>
          <w:sz w:val="24"/>
          <w:szCs w:val="24"/>
        </w:rPr>
      </w:pPr>
      <w:r w:rsidRPr="006C29FE">
        <w:rPr>
          <w:rFonts w:asciiTheme="minorHAnsi" w:hAnsiTheme="minorHAnsi" w:cstheme="minorHAnsi"/>
          <w:sz w:val="24"/>
          <w:szCs w:val="24"/>
        </w:rPr>
        <w:t>povinnost odběratele zajistit svými zaměstnanci nezbytnou obsluhu Zdroje KVET, zejména formou občasného dozoru a kontroly chodu KGJ,</w:t>
      </w:r>
    </w:p>
    <w:p w14:paraId="512651F2" w14:textId="04C0B309" w:rsidR="001D5DE9" w:rsidRPr="006C29FE" w:rsidRDefault="001D5DE9" w:rsidP="001D5DE9">
      <w:pPr>
        <w:pStyle w:val="Odstavecseseznamem"/>
        <w:numPr>
          <w:ilvl w:val="0"/>
          <w:numId w:val="8"/>
        </w:numPr>
        <w:spacing w:after="120" w:line="240" w:lineRule="auto"/>
        <w:ind w:left="1701" w:hanging="283"/>
        <w:jc w:val="both"/>
        <w:rPr>
          <w:rFonts w:asciiTheme="minorHAnsi" w:hAnsiTheme="minorHAnsi" w:cstheme="minorHAnsi"/>
          <w:sz w:val="24"/>
          <w:szCs w:val="24"/>
        </w:rPr>
      </w:pPr>
      <w:r w:rsidRPr="006C29FE">
        <w:rPr>
          <w:rFonts w:asciiTheme="minorHAnsi" w:hAnsiTheme="minorHAnsi" w:cstheme="minorHAnsi"/>
          <w:sz w:val="24"/>
          <w:szCs w:val="24"/>
        </w:rPr>
        <w:t xml:space="preserve">povinnost budoucího dodavatele provést bezplatně školení min. </w:t>
      </w:r>
      <w:r w:rsidR="009570AB" w:rsidRPr="009570AB">
        <w:rPr>
          <w:rFonts w:asciiTheme="minorHAnsi" w:hAnsiTheme="minorHAnsi" w:cstheme="minorHAnsi"/>
          <w:color w:val="FF0000"/>
          <w:sz w:val="24"/>
          <w:szCs w:val="24"/>
        </w:rPr>
        <w:t>3</w:t>
      </w:r>
      <w:r w:rsidR="009570AB">
        <w:rPr>
          <w:rFonts w:asciiTheme="minorHAnsi" w:hAnsiTheme="minorHAnsi" w:cstheme="minorHAnsi"/>
          <w:sz w:val="24"/>
          <w:szCs w:val="24"/>
        </w:rPr>
        <w:t xml:space="preserve"> </w:t>
      </w:r>
      <w:r w:rsidRPr="006C29FE">
        <w:rPr>
          <w:rFonts w:asciiTheme="minorHAnsi" w:hAnsiTheme="minorHAnsi" w:cstheme="minorHAnsi"/>
          <w:sz w:val="24"/>
          <w:szCs w:val="24"/>
        </w:rPr>
        <w:t>zaměstnanců odběratele ohledně obsluhy Zdroje KVET, přičemž toto školení se může opakovat každý rok provozu Zdroje KVET,</w:t>
      </w:r>
    </w:p>
    <w:p w14:paraId="4622905F" w14:textId="77777777" w:rsidR="001D5DE9" w:rsidRPr="006C29FE" w:rsidRDefault="001D5DE9" w:rsidP="001D5DE9">
      <w:pPr>
        <w:pStyle w:val="Odstavecseseznamem"/>
        <w:numPr>
          <w:ilvl w:val="0"/>
          <w:numId w:val="8"/>
        </w:numPr>
        <w:spacing w:after="120" w:line="240" w:lineRule="auto"/>
        <w:ind w:left="1701" w:hanging="283"/>
        <w:jc w:val="both"/>
        <w:rPr>
          <w:rFonts w:asciiTheme="minorHAnsi" w:hAnsiTheme="minorHAnsi" w:cstheme="minorHAnsi"/>
          <w:sz w:val="24"/>
          <w:szCs w:val="24"/>
        </w:rPr>
      </w:pPr>
      <w:r w:rsidRPr="006C29FE">
        <w:rPr>
          <w:rFonts w:asciiTheme="minorHAnsi" w:hAnsiTheme="minorHAnsi" w:cstheme="minorHAnsi"/>
          <w:sz w:val="24"/>
          <w:szCs w:val="24"/>
        </w:rPr>
        <w:t>povinnost budoucího dodavatele uhradit odběrateli náklady spojené s obsluhou zdroje KVET ve výši 50 000,- Kč / rok a informaci, že tato částka může být navýšena o meziroční nárůst inflace,</w:t>
      </w:r>
    </w:p>
    <w:p w14:paraId="37097616" w14:textId="77777777" w:rsidR="001D5DE9" w:rsidRPr="006C29FE" w:rsidRDefault="001D5DE9" w:rsidP="001D5DE9">
      <w:pPr>
        <w:pStyle w:val="Odstavecseseznamem"/>
        <w:numPr>
          <w:ilvl w:val="0"/>
          <w:numId w:val="8"/>
        </w:numPr>
        <w:spacing w:after="120" w:line="240" w:lineRule="auto"/>
        <w:ind w:left="1701" w:hanging="283"/>
        <w:jc w:val="both"/>
        <w:rPr>
          <w:rFonts w:asciiTheme="minorHAnsi" w:hAnsiTheme="minorHAnsi" w:cstheme="minorHAnsi"/>
          <w:sz w:val="24"/>
          <w:szCs w:val="24"/>
        </w:rPr>
      </w:pPr>
      <w:r w:rsidRPr="006C29FE">
        <w:rPr>
          <w:rFonts w:asciiTheme="minorHAnsi" w:hAnsiTheme="minorHAnsi" w:cstheme="minorHAnsi"/>
          <w:sz w:val="24"/>
          <w:szCs w:val="24"/>
        </w:rPr>
        <w:t>povinnost odběratele nahradit škody budoucímu dodavateli, pokud vzniknout nesprávnou obsluhou Zdroje KVET jeho zaměstnanci,</w:t>
      </w:r>
    </w:p>
    <w:p w14:paraId="01040136" w14:textId="77777777" w:rsidR="001D5DE9" w:rsidRPr="006C29FE" w:rsidRDefault="001D5DE9" w:rsidP="001D5DE9">
      <w:pPr>
        <w:pStyle w:val="Odstavecseseznamem"/>
        <w:numPr>
          <w:ilvl w:val="0"/>
          <w:numId w:val="8"/>
        </w:numPr>
        <w:spacing w:after="120" w:line="240" w:lineRule="auto"/>
        <w:ind w:left="1701" w:hanging="283"/>
        <w:jc w:val="both"/>
        <w:rPr>
          <w:rFonts w:asciiTheme="minorHAnsi" w:hAnsiTheme="minorHAnsi" w:cstheme="minorHAnsi"/>
          <w:sz w:val="24"/>
          <w:szCs w:val="24"/>
        </w:rPr>
      </w:pPr>
      <w:r w:rsidRPr="006C29FE">
        <w:rPr>
          <w:rFonts w:asciiTheme="minorHAnsi" w:hAnsiTheme="minorHAnsi" w:cstheme="minorHAnsi"/>
          <w:sz w:val="24"/>
          <w:szCs w:val="24"/>
        </w:rPr>
        <w:t>Informaci, že budoucí dodavatel neodpovídá za přerušení dodávky tepelné energie způsobené nesprávnou obsluhou zaměstnanců odběratele.</w:t>
      </w:r>
    </w:p>
    <w:p w14:paraId="11AF3895" w14:textId="77777777" w:rsidR="001D5DE9" w:rsidRDefault="001D5DE9" w:rsidP="001D5DE9">
      <w:pPr>
        <w:numPr>
          <w:ilvl w:val="2"/>
          <w:numId w:val="7"/>
        </w:numPr>
        <w:tabs>
          <w:tab w:val="num" w:pos="-360"/>
        </w:tabs>
        <w:spacing w:after="120" w:line="240" w:lineRule="auto"/>
        <w:ind w:left="1440"/>
        <w:jc w:val="both"/>
        <w:rPr>
          <w:rFonts w:asciiTheme="minorHAnsi" w:hAnsiTheme="minorHAnsi" w:cstheme="minorHAnsi"/>
          <w:sz w:val="24"/>
          <w:szCs w:val="24"/>
          <w:u w:val="single"/>
        </w:rPr>
      </w:pPr>
      <w:r>
        <w:rPr>
          <w:rFonts w:asciiTheme="minorHAnsi" w:hAnsiTheme="minorHAnsi" w:cstheme="minorHAnsi"/>
          <w:sz w:val="24"/>
          <w:szCs w:val="24"/>
        </w:rPr>
        <w:t xml:space="preserve">odebírat tepelnou energii ze Zdroje KVET ve vlastnictví budoucího dodavatele vždy přednostně před jakýmikoliv jinými zdroji tepelné energie, a to za podmínek uvedených ve Smlouvě o dodávce tepelné energie. </w:t>
      </w:r>
    </w:p>
    <w:p w14:paraId="0A1A55F2" w14:textId="77777777" w:rsidR="001D5DE9" w:rsidRDefault="001D5DE9" w:rsidP="001D5DE9">
      <w:pPr>
        <w:numPr>
          <w:ilvl w:val="0"/>
          <w:numId w:val="6"/>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V případě, že do dne uzavření Smlouvy o dodávce tepelné energie dojde z jakéhokoliv důvodu ke změně v subjektu budoucího odběratele (je-li takováto změna v souladu s obecně závaznými právními předpisy a pokud s takovouto změnou budoucí dodavatel souhlasí), zavazuje se budoucí odběratel tuto změnu ihned písemně oznámit budoucímu dodavateli. Současně se dále zavazuje, že na nového budoucího odběratele postoupí práva a převede závazky z této smlouvy vyplývající (vyplývá-li tento požadavek z obecně závazných právních předpisů), pokud se písemně nedohodne s budoucím dodavatelem jinak. </w:t>
      </w:r>
      <w:bookmarkEnd w:id="3"/>
    </w:p>
    <w:p w14:paraId="2F5FCB2B" w14:textId="77777777" w:rsidR="001D5DE9" w:rsidRDefault="001D5DE9" w:rsidP="001D5DE9">
      <w:pPr>
        <w:pStyle w:val="Nadpis2"/>
        <w:numPr>
          <w:ilvl w:val="0"/>
          <w:numId w:val="3"/>
        </w:numPr>
        <w:spacing w:after="0"/>
        <w:rPr>
          <w:rFonts w:asciiTheme="minorHAnsi" w:hAnsiTheme="minorHAnsi" w:cstheme="minorHAnsi"/>
          <w:sz w:val="24"/>
          <w:szCs w:val="24"/>
        </w:rPr>
      </w:pPr>
      <w:bookmarkStart w:id="4" w:name="_Ref313266608"/>
    </w:p>
    <w:p w14:paraId="0901ECD4" w14:textId="77777777" w:rsidR="001D5DE9" w:rsidRDefault="001D5DE9" w:rsidP="001D5DE9">
      <w:pPr>
        <w:pStyle w:val="Nadpis2"/>
        <w:spacing w:before="0"/>
        <w:ind w:left="360"/>
        <w:rPr>
          <w:rFonts w:asciiTheme="minorHAnsi" w:hAnsiTheme="minorHAnsi" w:cstheme="minorHAnsi"/>
          <w:sz w:val="24"/>
          <w:szCs w:val="24"/>
        </w:rPr>
      </w:pPr>
      <w:r>
        <w:rPr>
          <w:rFonts w:asciiTheme="minorHAnsi" w:hAnsiTheme="minorHAnsi" w:cstheme="minorHAnsi"/>
          <w:sz w:val="24"/>
          <w:szCs w:val="24"/>
        </w:rPr>
        <w:t>ODSTOUPENÍ OD SMLOUVY</w:t>
      </w:r>
    </w:p>
    <w:bookmarkEnd w:id="4"/>
    <w:p w14:paraId="29E745B0" w14:textId="77777777" w:rsidR="001D5DE9" w:rsidRDefault="001D5DE9" w:rsidP="001D5DE9">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jsou oprávněny od této smlouvy odstoupit pouze v případě, že je to v této smlouvě výslovně sjednáno nebo v případě, že druhá smluvní strana poruší tuto smlouvu podstatným způsobem.</w:t>
      </w:r>
    </w:p>
    <w:p w14:paraId="286949C4" w14:textId="77777777" w:rsidR="001D5DE9" w:rsidRDefault="001D5DE9" w:rsidP="001D5DE9">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V této souvislosti smluvní strany sjednávají, že za podstatné porušení povinnosti je považováno jen:</w:t>
      </w:r>
    </w:p>
    <w:p w14:paraId="6A3FB7B5" w14:textId="77777777" w:rsidR="001D5DE9" w:rsidRDefault="001D5DE9" w:rsidP="001D5DE9">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nesplnění povinnosti budoucího odběratele uzavřít ve sjednaném termínu Smlouvu o dodávce tepelné energie,   </w:t>
      </w:r>
    </w:p>
    <w:p w14:paraId="29779899" w14:textId="77777777" w:rsidR="001D5DE9" w:rsidRDefault="001D5DE9" w:rsidP="001D5DE9">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nesplnění povinnosti budoucího dodavatele realizovat výstavbu Zdroje KVET ani v dodatečné lhůtě 6 měsíců následující po písemné výzvě budoucího odběratele (která bude zaslána po uplynutí předpokládané lhůty k výstavbě Zdroje KVET) – to neplatí v případě, že Zdroj KVET nebyl realizován z důvodů nikoliv na straně budoucího dodavatele,</w:t>
      </w:r>
    </w:p>
    <w:p w14:paraId="6C25EEB6" w14:textId="77777777" w:rsidR="001D5DE9" w:rsidRDefault="001D5DE9" w:rsidP="001D5DE9">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nesplnění povinnosti budoucího odběratele poskytnout součinnost dle čl. II. odst. 6 a/nebo dle čl. III. odst. 1.2. a/nebo dle čl. III. odst. 2 této smlouvy.</w:t>
      </w:r>
    </w:p>
    <w:p w14:paraId="0643A0C0" w14:textId="77777777" w:rsidR="001D5DE9" w:rsidRDefault="001D5DE9" w:rsidP="001D5DE9">
      <w:pPr>
        <w:numPr>
          <w:ilvl w:val="0"/>
          <w:numId w:val="9"/>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je dále oprávněn odstoupit od této smlouvy v případě, že třetí osoba (popř. přímo budoucí odběratel), přes jejichž nemovitosti mají být Rozvodné tepelné zařízení, Rozvody médií či Rozvody elektřiny (popř. jiná část Zdroje KVET) vedeny, neuzavřou s budoucím dodavatelem Smlouvu o budoucí smlouvě o zřízení věcného břemene – služebnosti/Smlouvu o zřízení věcného břemene - služebností, což znemožní vést Rozvodné tepelné zařízení, Rozvody médií či Rozvody elektřiny (či jinou část Zdroje KVET) přes uvedené nemovitosti.</w:t>
      </w:r>
    </w:p>
    <w:p w14:paraId="6B7A9720" w14:textId="77777777" w:rsidR="001D5DE9" w:rsidRDefault="001D5DE9" w:rsidP="001D5DE9">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je dále oprávněn odstoupit od této smlouvy v případě, že:</w:t>
      </w:r>
    </w:p>
    <w:p w14:paraId="59049B5D" w14:textId="77777777" w:rsidR="001D5DE9" w:rsidRDefault="001D5DE9" w:rsidP="001D5DE9">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nebude vydáno pravomocné územní rozhodnutí o umístění stavby Zdroje KVET dle této smlouvy,</w:t>
      </w:r>
    </w:p>
    <w:p w14:paraId="20C918A0" w14:textId="77777777" w:rsidR="001D5DE9" w:rsidRDefault="001D5DE9" w:rsidP="001D5DE9">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nebude vydáno pravomocné stavební povolení na stavbu Zdroje KVET či kolaudační souhlas k užívání Zdroje KVET,</w:t>
      </w:r>
    </w:p>
    <w:p w14:paraId="5DC283CC" w14:textId="77777777" w:rsidR="001D5DE9" w:rsidRDefault="001D5DE9" w:rsidP="001D5DE9">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nebude získáno od třetích osob povolení ke vstupu budoucího dodavatele na pozemky ve vlastnictví třetích osob, přes které je nutné vést Rozvodné tepelné zařízení, Rozvody médií či Rozvody elektřiny (či jinou část Zdrojů KVET), nebo </w:t>
      </w:r>
    </w:p>
    <w:p w14:paraId="0A470281" w14:textId="77777777" w:rsidR="001D5DE9" w:rsidRDefault="001D5DE9" w:rsidP="001D5DE9">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příslušný provozovatel distribuční soustavy elektřiny neuzavře s budoucím dodavatelem Smlouvu o budoucí smlouvě o připojení výrobny elektřiny nebo Smlouvu o připojení výrobny elektřiny.</w:t>
      </w:r>
    </w:p>
    <w:p w14:paraId="6137B6B9" w14:textId="77777777" w:rsidR="001D5DE9" w:rsidRDefault="001D5DE9" w:rsidP="001D5DE9">
      <w:pPr>
        <w:spacing w:after="120"/>
        <w:ind w:left="357"/>
        <w:rPr>
          <w:rFonts w:asciiTheme="minorHAnsi" w:hAnsiTheme="minorHAnsi" w:cstheme="minorHAnsi"/>
          <w:sz w:val="24"/>
          <w:szCs w:val="24"/>
        </w:rPr>
      </w:pPr>
      <w:r>
        <w:rPr>
          <w:rFonts w:asciiTheme="minorHAnsi" w:hAnsiTheme="minorHAnsi" w:cstheme="minorHAnsi"/>
          <w:sz w:val="24"/>
          <w:szCs w:val="24"/>
        </w:rPr>
        <w:t xml:space="preserve">V případech, kdy budoucí dodavatel odstoupí od této smlouvy z důvodů uvedených v odst. 3. nebo 4. tohoto článku, nemá budoucí odběratel vůči budoucímu dodavateli nárok na náhradu škody. </w:t>
      </w:r>
    </w:p>
    <w:p w14:paraId="3169C953" w14:textId="77777777" w:rsidR="001D5DE9" w:rsidRDefault="001D5DE9" w:rsidP="001D5DE9">
      <w:pPr>
        <w:numPr>
          <w:ilvl w:val="0"/>
          <w:numId w:val="9"/>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Úkony, kterými se ukončuje trvání této smlouvy, musí mít písemnou formu a doručují se na adresu smluvní strany uvedenou v záhlaví této smlouvy, a to osobním předáním oproti písemnému potvrzení převzetí anebo doporučenou poštovní zásilkou. </w:t>
      </w:r>
    </w:p>
    <w:p w14:paraId="425D4121" w14:textId="77777777" w:rsidR="001D5DE9" w:rsidRDefault="001D5DE9" w:rsidP="001D5DE9">
      <w:pPr>
        <w:pStyle w:val="Nadpis2"/>
        <w:numPr>
          <w:ilvl w:val="0"/>
          <w:numId w:val="3"/>
        </w:numPr>
        <w:spacing w:after="0"/>
        <w:rPr>
          <w:rFonts w:asciiTheme="minorHAnsi" w:hAnsiTheme="minorHAnsi" w:cstheme="minorHAnsi"/>
          <w:sz w:val="24"/>
          <w:szCs w:val="24"/>
        </w:rPr>
      </w:pPr>
    </w:p>
    <w:p w14:paraId="0E986FE0" w14:textId="77777777" w:rsidR="001D5DE9" w:rsidRDefault="001D5DE9" w:rsidP="001D5DE9">
      <w:pPr>
        <w:pStyle w:val="Nadpis2"/>
        <w:spacing w:before="0"/>
        <w:ind w:left="360"/>
        <w:rPr>
          <w:rFonts w:asciiTheme="minorHAnsi" w:hAnsiTheme="minorHAnsi" w:cstheme="minorHAnsi"/>
          <w:sz w:val="24"/>
          <w:szCs w:val="24"/>
        </w:rPr>
      </w:pPr>
      <w:r>
        <w:rPr>
          <w:rFonts w:asciiTheme="minorHAnsi" w:hAnsiTheme="minorHAnsi" w:cstheme="minorHAnsi"/>
          <w:sz w:val="24"/>
          <w:szCs w:val="24"/>
        </w:rPr>
        <w:t>ostatní ujednání</w:t>
      </w:r>
    </w:p>
    <w:p w14:paraId="09089289"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V případě, že není některé tepelné zařízení budoucího odběratele v době zahájení dodávek tepla budoucím dodavatelem připraveno k zahájení odběru tepla, zavazuje se budoucí odběratel umožnit na vyzvání budoucího dodavatele kontrolu Budovy a (odběrného) daného tepelného zařízení za účelem zjištění jeho stavu. Kontroly může budoucí dodavatel provádět až do doby uzavření Smlouvy o dodávce tepelné energie. V případě, že ani na opakovanou výzvu neumožní budoucí odběratel kontrolu stavu, bude budoucí dodavatel postupovat v souladu s ustanovením § 89 energetického zákona o neoprávněném odběru.</w:t>
      </w:r>
    </w:p>
    <w:p w14:paraId="28EA410D"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lastRenderedPageBreak/>
        <w:t>V případě, že budoucí odběratel převede vlastnické právo k odběrnému místu na třetí osobu nebo je přenechá třetí osobě k užívání, je povinen předem zajistit převod práv a povinností plynoucích z této smlouvy nebo ze Smlouvy o dodávce tepelné energie na tuto třetí osobu. Neučiní-li tak, je stále zavázán z těchto smluv včetně všech povinností s tím souvisejících, resp. odpovídá budoucímu dodavateli za veškeré škody vzniklé v důsledku porušení této povinnosti, včetně ušlého zisku z důvodu případného omezení dodávek tepelné energie ze Zdroje KVET a skutečných škod vniklých v důsledku zmařené či ohrožené investice na vybudování Zdroje KVET.</w:t>
      </w:r>
    </w:p>
    <w:p w14:paraId="3DCE5ACD"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Obě smluvní strany se dohodly, že škodou jsou ve smyslu této smlouvy všechny náklady a výdaje, které poškozená smluvní strana vynaložila k tomu, aby zajistila ze své strany naplnění předmětu této smlouvy, včetně případného ušlého zisku.</w:t>
      </w:r>
    </w:p>
    <w:p w14:paraId="307E4476"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bookmarkStart w:id="5" w:name="ClanekVI_ods2"/>
      <w:bookmarkStart w:id="6" w:name="ClanekVI_ods3"/>
      <w:bookmarkEnd w:id="5"/>
      <w:bookmarkEnd w:id="6"/>
      <w:r>
        <w:rPr>
          <w:rFonts w:asciiTheme="minorHAnsi" w:hAnsiTheme="minorHAnsi" w:cstheme="minorHAnsi"/>
          <w:sz w:val="24"/>
          <w:szCs w:val="24"/>
        </w:rPr>
        <w:t xml:space="preserve">Smluvní strany berou na vědomí, že v souladu s ustanovením § 1727 občanského zákoníku je tato smlouva/Smlouva o dodávce tepelné energie vzájemně závislá se Smlouvou o nájmu, Smlouvou o smlouvě budoucí o zřízení věcného břemene (věcných břemen) – služebnosti inženýrské sítě (služebností inženýrských sítí) / Smlouvou o zřízení věcného břemene (věcných břemen) – služebnosti inženýrské sítě (služebností inženýrských sítí) a Smlouvou o úplatném poskytování (přenechávání a přeúčtovávání) zemního plynu a pitné vody. Zánik jedné z těchto smluv jiným způsobem než splněním nebo splnění nahrazujícím způsobuje zánik ostatních závislých smluv, a to s obdobnými právními účinky. Ukončení platnosti a účinnosti této smlouvy tedy vyvolá ukončení platnosti a účinnosti Smlouvy o nájmu, Smlouvy o smlouvě budoucí o zřízení věcného břemene (věcných břemen) – služebnosti inženýrské sítě (služebností inženýrských sítí) / Smlouvy o zřízení věcného břemene (věcných břemen) – služebnosti inženýrské sítě (služebností inženýrských sítí) a Smlouvy o úplatném poskytování (přenechávání a přeúčtovávání) zemního plynu a pitné vody a naopak. </w:t>
      </w:r>
    </w:p>
    <w:p w14:paraId="77154279"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Pokud by výroba tepla, které má být dodáváno budoucímu odběrateli, popřípadě rozvod tepla nebo jeho prodej byly přímo nebo nepřímo zatíženy daněmi, poplatky nebo odvody jakéhokoliv druhu, které při uzavření této smlouvy nebyly ještě zákonně zavedeny, nebo pokud by daně, poplatky nebo odvody na výrobu, prodej nebo rozvod tepla byly zvýšeny, je budoucí dodavatel oprávněn odpovídajícím způsobem cenu tepla ve Smlouvě o dodávce tepelné energie zvýšit (zvýšení ceny tepla za určité období bude odpovídat výši těchto nových daní, poplatků nebo odvodů placených za toto období). V případě omezení a skončení takových zatížení bude budoucímu odběrateli zaručeno odpovídající vyrovnání (opětovné snížení ceny tepla odpovídajícím způsobem).</w:t>
      </w:r>
    </w:p>
    <w:p w14:paraId="05A41379" w14:textId="77777777" w:rsidR="001D5DE9" w:rsidRDefault="001D5DE9" w:rsidP="001D5DE9">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Pokud se v průběhu trvání této smlouvy změní všeobecné hospodářské nebo technické poměry tak podstatně, že budoucí plnění a budoucí protislužba dle Smlouvy o dodávce tepelné energie by nebyly navzájem v přiměřeném poměru - zejména v případě, kdy by z důvodu změny právních předpisů nebo z důvodů postupu orgánů veřejné moci došlo ke změně příspěvku k ceně elektřiny vyrobené z kombinované výroby elektřiny a tepla (tzv. Zelený bonus), a to k jeho snížení o více než 10 % oproti stavu platnému ke dni uzavření této smlouvy, dohodnou se smluvní strany na odpovídající změně této smlouvy, resp. její Přílohy I (Smlouvy o dodávce tepelné energie nebo jejích částí), zejména na změně sjednané ceny dodávek tepla tak, aby tato odpovídala změněným poměrům. Nedojde-li k takovéto dohodě smluvních stran, je budoucí dodavatel oprávněn od této smlouvy bez dalšího odstoupit, aniž by budoucímu odběrateli vzniklo právo na náhradu škody. </w:t>
      </w:r>
    </w:p>
    <w:p w14:paraId="442AD29E" w14:textId="77777777" w:rsidR="001D5DE9" w:rsidRDefault="001D5DE9" w:rsidP="001D5DE9">
      <w:pPr>
        <w:pStyle w:val="Nadpis2"/>
        <w:numPr>
          <w:ilvl w:val="0"/>
          <w:numId w:val="3"/>
        </w:numPr>
        <w:spacing w:after="0"/>
        <w:rPr>
          <w:rFonts w:asciiTheme="minorHAnsi" w:hAnsiTheme="minorHAnsi" w:cstheme="minorHAnsi"/>
          <w:sz w:val="24"/>
          <w:szCs w:val="24"/>
        </w:rPr>
      </w:pPr>
    </w:p>
    <w:p w14:paraId="39DEE2C6" w14:textId="77777777" w:rsidR="001D5DE9" w:rsidRDefault="001D5DE9" w:rsidP="001D5DE9">
      <w:pPr>
        <w:pStyle w:val="Nadpis2"/>
        <w:spacing w:before="0"/>
        <w:ind w:left="360"/>
        <w:rPr>
          <w:rFonts w:asciiTheme="minorHAnsi" w:hAnsiTheme="minorHAnsi" w:cstheme="minorHAnsi"/>
          <w:sz w:val="24"/>
          <w:szCs w:val="24"/>
        </w:rPr>
      </w:pPr>
      <w:r>
        <w:rPr>
          <w:rFonts w:asciiTheme="minorHAnsi" w:hAnsiTheme="minorHAnsi" w:cstheme="minorHAnsi"/>
          <w:sz w:val="24"/>
          <w:szCs w:val="24"/>
        </w:rPr>
        <w:t>ZÁVĚREČNÁ ustanovení</w:t>
      </w:r>
    </w:p>
    <w:p w14:paraId="36AE9B93"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Právní vztahy touto smlouvou výslovně neupravené se řídí příslušnými ustanoveními občanského zákoníku a ostatních obecně závazných právních předpisů.</w:t>
      </w:r>
    </w:p>
    <w:p w14:paraId="6393217B"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vylučují aplikaci § 557 občanského zákoníku, ve znění pozdějších předpisů (výklad použitého výrazu).</w:t>
      </w:r>
    </w:p>
    <w:p w14:paraId="1E7845AD"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Je-li nebo stane-li se kterékoli ujednání této smlouvy neplatným, nemá to vliv na platnost ostatních ujednání. Smluvní strany se zavazují případné neplatné ujednání bezodkladně nahradit formou písemného dodatku ujednáním platným a co nejvíce se blížícím svým smyslem a účelem ujednání původnímu.</w:t>
      </w:r>
    </w:p>
    <w:p w14:paraId="0715B719"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Ukáže-li se některé z ustanovení této smlouvy zdánlivým (nicotným), posoudí se vliv této vady na ostatní ustanovení této smlouvy obdobně podle § 576 občanského zákoníku.</w:t>
      </w:r>
    </w:p>
    <w:p w14:paraId="671DE4DD"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se vzdává práva domáhat se zrušení závazku z této smlouvy podle § 1788 odst. 2 občanského zákoníku, tedy v případě změny okolností do té míry, že na zavázané straně nelze rozumně požadovat, aby byla smlouvou dále vázána. Budoucí odběratel dále přebírá podle § 1765 odst. 2 občanského zákoníku riziko změny okolností v souvislosti s obsahem této smlouvy – pro budoucího odběratele tedy bezvýjimečně platí, že změní-li se po uzavření smlouvy okolnosti do té míry, že se plnění podle smlouvy stane pro budoucího odběratele obtížnější, nemění to nic na jeho povinnosti splnit dluh.</w:t>
      </w:r>
    </w:p>
    <w:p w14:paraId="00E1E7A1"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Tato smlouva obsahuje úplné ujednání o předmětu smlouvy a všech náležitostech, které strany měly a chtěly ve smlouvě sjednat,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 Strany výslovně potvrzují, že základní podmínky této smlouvy jsou výsledkem jednání stran a každá ze stran měla příležitost ovlivnit obsah základních podmínek této smlouvy.</w:t>
      </w:r>
    </w:p>
    <w:p w14:paraId="757FA9D5"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Jakékoliv změny této smlouvy musí být učiněny formou písemných dodatků, chronologicky číselně řazených a podepsaných na jedné listině oprávněnými zástupci obou smluvních stran.</w:t>
      </w:r>
    </w:p>
    <w:p w14:paraId="3DA33FE0"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prohlašuje, že proti němu není zahájeno insolvenční ani exekuční řízení.</w:t>
      </w:r>
    </w:p>
    <w:p w14:paraId="3AD63E2E"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prohlašují, že si tuto smlouvu před jejím podpisem přečetly, že byla uzavřena po vzájemném projednání podle jejich pravé a svobodné vůle, určitě, vážně a srozumitelně, což stvrzují svým vlastnoručním podpisem.</w:t>
      </w:r>
    </w:p>
    <w:p w14:paraId="481C4154" w14:textId="77777777" w:rsidR="001D5DE9" w:rsidRDefault="001D5DE9" w:rsidP="001D5DE9">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Tato smlouva nabývá platnosti a účinnosti dnem podpisu oprávněnými zástupci obou smluvních stran, nevyplývá-li z jiného právního předpisu pozdější účinnost. Smlouva se vyhotovuje se ve dvou stejnopisech s platností originálu (pokud se smluvní strany nedohodnou na uzavření smlouvy v elektronické podobě), z nichž každá ze smluvních stran obdrží po jednom oboustranně podepsaném stejnopisu.</w:t>
      </w:r>
    </w:p>
    <w:p w14:paraId="7F030C74" w14:textId="77777777" w:rsidR="001D5DE9" w:rsidRDefault="001D5DE9" w:rsidP="001D5DE9">
      <w:pPr>
        <w:pStyle w:val="Zkladntextodsazen3"/>
        <w:numPr>
          <w:ilvl w:val="0"/>
          <w:numId w:val="13"/>
        </w:numPr>
        <w:rPr>
          <w:rFonts w:asciiTheme="minorHAnsi" w:hAnsiTheme="minorHAnsi" w:cstheme="minorHAnsi"/>
          <w:color w:val="auto"/>
        </w:rPr>
      </w:pPr>
      <w:r>
        <w:rPr>
          <w:rFonts w:asciiTheme="minorHAnsi" w:hAnsiTheme="minorHAnsi" w:cstheme="minorHAnsi"/>
          <w:color w:val="auto"/>
        </w:rPr>
        <w:t>Nedílnou součástí této smlouvy je její příloha, a to:</w:t>
      </w:r>
    </w:p>
    <w:p w14:paraId="3301AF49" w14:textId="77777777" w:rsidR="001D5DE9" w:rsidRDefault="001D5DE9" w:rsidP="001D5DE9">
      <w:pPr>
        <w:pStyle w:val="Zkladntextodsazen3"/>
        <w:tabs>
          <w:tab w:val="clear" w:pos="426"/>
          <w:tab w:val="left" w:pos="708"/>
        </w:tabs>
        <w:ind w:left="284" w:firstLine="76"/>
        <w:rPr>
          <w:rFonts w:asciiTheme="minorHAnsi" w:hAnsiTheme="minorHAnsi" w:cstheme="minorHAnsi"/>
          <w:color w:val="auto"/>
        </w:rPr>
      </w:pPr>
      <w:r>
        <w:rPr>
          <w:rFonts w:asciiTheme="minorHAnsi" w:hAnsiTheme="minorHAnsi" w:cstheme="minorHAnsi"/>
          <w:color w:val="auto"/>
        </w:rPr>
        <w:t>Příloha č. I – Smlouva o dodávce tepelné energie včetně příloh</w:t>
      </w:r>
    </w:p>
    <w:p w14:paraId="62AE41C8" w14:textId="77777777" w:rsidR="001D5DE9" w:rsidRDefault="001D5DE9" w:rsidP="001D5DE9">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t>Příloha č. 1 – Podmínky dodávky tepelné energie</w:t>
      </w:r>
    </w:p>
    <w:p w14:paraId="521E93AF" w14:textId="77777777" w:rsidR="001D5DE9" w:rsidRDefault="001D5DE9" w:rsidP="001D5DE9">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t xml:space="preserve">Příloha č. 2 – Specifikace dodávky tepelné energie </w:t>
      </w:r>
    </w:p>
    <w:p w14:paraId="7A148E57" w14:textId="77777777" w:rsidR="001D5DE9" w:rsidRDefault="001D5DE9" w:rsidP="001D5DE9">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lastRenderedPageBreak/>
        <w:t>Příloha č. 3 – Vzorec pro výpočet ceny tepelné energie a vzorec pro náhradní způsob vyhodnocení dodávky/odběru tepelné energie</w:t>
      </w:r>
    </w:p>
    <w:p w14:paraId="01A5A3C8"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p>
    <w:p w14:paraId="4A88F304"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p>
    <w:p w14:paraId="02DFC59D" w14:textId="77777777" w:rsidR="001D5DE9" w:rsidRDefault="001D5DE9" w:rsidP="001D5DE9">
      <w:pPr>
        <w:pStyle w:val="Zkladntextodsazen3"/>
        <w:tabs>
          <w:tab w:val="clear" w:pos="426"/>
          <w:tab w:val="left" w:pos="708"/>
        </w:tabs>
        <w:ind w:left="0"/>
        <w:rPr>
          <w:rFonts w:asciiTheme="minorHAnsi" w:hAnsiTheme="minorHAnsi" w:cstheme="minorHAnsi"/>
          <w:color w:val="auto"/>
        </w:rPr>
      </w:pPr>
      <w:r>
        <w:rPr>
          <w:rFonts w:asciiTheme="minorHAnsi" w:hAnsiTheme="minorHAnsi" w:cstheme="minorHAnsi"/>
          <w:color w:val="auto"/>
        </w:rPr>
        <w:t>V ………………………. dne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V Jilemnici dne …………</w:t>
      </w:r>
      <w:proofErr w:type="gramStart"/>
      <w:r>
        <w:rPr>
          <w:rFonts w:asciiTheme="minorHAnsi" w:hAnsiTheme="minorHAnsi" w:cstheme="minorHAnsi"/>
          <w:color w:val="auto"/>
        </w:rPr>
        <w:t>…….</w:t>
      </w:r>
      <w:proofErr w:type="gramEnd"/>
      <w:r>
        <w:rPr>
          <w:rFonts w:asciiTheme="minorHAnsi" w:hAnsiTheme="minorHAnsi" w:cstheme="minorHAnsi"/>
          <w:color w:val="auto"/>
        </w:rPr>
        <w:t>.</w:t>
      </w:r>
    </w:p>
    <w:p w14:paraId="5DACB8DA"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p>
    <w:p w14:paraId="463C7277"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Za budoucího dodavatele:</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Za budoucího odběratele:</w:t>
      </w:r>
    </w:p>
    <w:p w14:paraId="180025F6" w14:textId="77777777" w:rsidR="001D5DE9" w:rsidRDefault="001D5DE9" w:rsidP="001D5DE9">
      <w:pPr>
        <w:pStyle w:val="Zkladntextodsazen3"/>
        <w:tabs>
          <w:tab w:val="clear" w:pos="426"/>
          <w:tab w:val="left" w:pos="708"/>
        </w:tabs>
        <w:spacing w:before="0"/>
        <w:ind w:left="284" w:hanging="284"/>
        <w:rPr>
          <w:rFonts w:asciiTheme="minorHAnsi" w:hAnsiTheme="minorHAnsi" w:cstheme="minorHAnsi"/>
          <w:b/>
          <w:bCs/>
          <w:color w:val="auto"/>
        </w:rPr>
      </w:pPr>
      <w:r>
        <w:rPr>
          <w:rFonts w:asciiTheme="minorHAnsi" w:hAnsiTheme="minorHAnsi" w:cstheme="minorHAnsi"/>
          <w:b/>
          <w:bCs/>
          <w:color w:val="auto"/>
          <w:highlight w:val="darkGray"/>
        </w:rPr>
        <w:t>XXXXXXXX</w:t>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t>MMN, a.s.</w:t>
      </w:r>
    </w:p>
    <w:p w14:paraId="58BD02F7"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p>
    <w:p w14:paraId="6627AB33"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p>
    <w:p w14:paraId="1ADFABD5" w14:textId="77777777" w:rsidR="001D5DE9" w:rsidRDefault="001D5DE9" w:rsidP="001D5DE9">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p>
    <w:p w14:paraId="11CFB7DD" w14:textId="14E6B0DD" w:rsidR="001D5DE9" w:rsidRDefault="001D5DE9" w:rsidP="004229CC">
      <w:pPr>
        <w:pStyle w:val="Zkladntextodsazen3"/>
        <w:tabs>
          <w:tab w:val="left" w:pos="708"/>
        </w:tabs>
        <w:spacing w:before="0"/>
        <w:ind w:left="5664" w:hanging="5664"/>
        <w:rPr>
          <w:rFonts w:asciiTheme="minorHAnsi" w:hAnsiTheme="minorHAnsi" w:cstheme="minorHAnsi"/>
          <w:color w:val="auto"/>
        </w:rPr>
      </w:pPr>
      <w:proofErr w:type="spellStart"/>
      <w:r>
        <w:rPr>
          <w:rFonts w:asciiTheme="minorHAnsi" w:hAnsiTheme="minorHAnsi" w:cstheme="minorHAnsi"/>
          <w:color w:val="auto"/>
          <w:highlight w:val="darkGray"/>
        </w:rPr>
        <w:t>Xxxxx</w:t>
      </w:r>
      <w:proofErr w:type="spellEnd"/>
      <w:r>
        <w:rPr>
          <w:rFonts w:asciiTheme="minorHAnsi" w:hAnsiTheme="minorHAnsi" w:cstheme="minorHAnsi"/>
          <w:color w:val="auto"/>
          <w:highlight w:val="darkGray"/>
        </w:rPr>
        <w:t xml:space="preserve"> </w:t>
      </w:r>
      <w:proofErr w:type="spellStart"/>
      <w:r>
        <w:rPr>
          <w:rFonts w:asciiTheme="minorHAnsi" w:hAnsiTheme="minorHAnsi" w:cstheme="minorHAnsi"/>
          <w:color w:val="auto"/>
          <w:highlight w:val="darkGray"/>
        </w:rPr>
        <w:t>Xxxxxxxxxx</w:t>
      </w:r>
      <w:proofErr w:type="spellEnd"/>
      <w:r>
        <w:rPr>
          <w:rFonts w:asciiTheme="minorHAnsi" w:hAnsiTheme="minorHAnsi" w:cstheme="minorHAnsi"/>
          <w:color w:val="auto"/>
          <w:highlight w:val="darkGray"/>
        </w:rPr>
        <w:t xml:space="preserve"> funkce</w:t>
      </w:r>
      <w:r>
        <w:rPr>
          <w:rFonts w:asciiTheme="minorHAnsi" w:hAnsiTheme="minorHAnsi" w:cstheme="minorHAnsi"/>
          <w:color w:val="auto"/>
        </w:rPr>
        <w:tab/>
        <w:t xml:space="preserve">MUDr. Jiří Kalenský </w:t>
      </w:r>
    </w:p>
    <w:p w14:paraId="68CD5693" w14:textId="77777777" w:rsidR="001D5DE9" w:rsidRDefault="001D5DE9" w:rsidP="001D5DE9">
      <w:pPr>
        <w:pStyle w:val="Zkladntextodsazen3"/>
        <w:tabs>
          <w:tab w:val="clear" w:pos="426"/>
          <w:tab w:val="left" w:pos="708"/>
        </w:tabs>
        <w:spacing w:before="0"/>
        <w:ind w:left="5664" w:hanging="5664"/>
        <w:jc w:val="left"/>
        <w:rPr>
          <w:rFonts w:asciiTheme="minorHAnsi" w:hAnsiTheme="minorHAnsi" w:cstheme="minorHAnsi"/>
          <w:color w:val="auto"/>
        </w:rPr>
      </w:pPr>
      <w:r>
        <w:rPr>
          <w:rFonts w:asciiTheme="minorHAnsi" w:hAnsiTheme="minorHAnsi" w:cstheme="minorHAnsi"/>
          <w:color w:val="auto"/>
        </w:rPr>
        <w:tab/>
      </w:r>
      <w:r>
        <w:rPr>
          <w:rFonts w:asciiTheme="minorHAnsi" w:hAnsiTheme="minorHAnsi" w:cstheme="minorHAnsi"/>
          <w:color w:val="auto"/>
        </w:rPr>
        <w:tab/>
        <w:t>předseda představenstva</w:t>
      </w:r>
    </w:p>
    <w:p w14:paraId="287F3592" w14:textId="77777777" w:rsidR="001D5DE9" w:rsidRDefault="001D5DE9" w:rsidP="001D5DE9">
      <w:pPr>
        <w:pStyle w:val="Zkladntextodsazen3"/>
        <w:tabs>
          <w:tab w:val="clear" w:pos="426"/>
          <w:tab w:val="left" w:pos="708"/>
        </w:tabs>
        <w:ind w:left="0"/>
        <w:jc w:val="left"/>
        <w:rPr>
          <w:rFonts w:asciiTheme="minorHAnsi" w:hAnsiTheme="minorHAnsi" w:cstheme="minorHAnsi"/>
          <w:color w:val="auto"/>
        </w:rPr>
      </w:pPr>
    </w:p>
    <w:p w14:paraId="3336F8A8" w14:textId="77777777" w:rsidR="001D5DE9" w:rsidRDefault="001D5DE9" w:rsidP="001D5DE9">
      <w:pPr>
        <w:pStyle w:val="Zkladntextodsazen3"/>
        <w:tabs>
          <w:tab w:val="clear" w:pos="426"/>
          <w:tab w:val="left" w:pos="708"/>
        </w:tabs>
        <w:ind w:left="0"/>
        <w:jc w:val="left"/>
        <w:rPr>
          <w:rFonts w:asciiTheme="minorHAnsi" w:hAnsiTheme="minorHAnsi" w:cstheme="minorHAnsi"/>
          <w:color w:val="auto"/>
        </w:rPr>
      </w:pPr>
    </w:p>
    <w:p w14:paraId="7000A43C" w14:textId="77777777" w:rsidR="0072076C" w:rsidRDefault="0072076C" w:rsidP="001D5DE9">
      <w:pPr>
        <w:rPr>
          <w:rFonts w:asciiTheme="minorHAnsi" w:hAnsiTheme="minorHAnsi" w:cstheme="minorHAnsi"/>
          <w:sz w:val="24"/>
          <w:szCs w:val="24"/>
          <w:u w:val="single"/>
        </w:rPr>
      </w:pPr>
    </w:p>
    <w:p w14:paraId="63A97646" w14:textId="39BEE1F4" w:rsidR="001D5DE9" w:rsidRDefault="006C29FE" w:rsidP="001D5DE9">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72076C">
        <w:rPr>
          <w:rFonts w:asciiTheme="minorHAnsi" w:hAnsiTheme="minorHAnsi" w:cstheme="minorHAnsi"/>
          <w:sz w:val="24"/>
          <w:szCs w:val="24"/>
        </w:rPr>
        <w:tab/>
      </w:r>
      <w:r w:rsidR="0072076C">
        <w:rPr>
          <w:rFonts w:asciiTheme="minorHAnsi" w:hAnsiTheme="minorHAnsi" w:cstheme="minorHAnsi"/>
          <w:sz w:val="24"/>
          <w:szCs w:val="24"/>
        </w:rPr>
        <w:tab/>
      </w:r>
      <w:r w:rsidR="0072076C">
        <w:rPr>
          <w:rFonts w:asciiTheme="minorHAnsi" w:hAnsiTheme="minorHAnsi" w:cstheme="minorHAnsi"/>
          <w:sz w:val="24"/>
          <w:szCs w:val="24"/>
        </w:rPr>
        <w:tab/>
        <w:t>………………………………………………….</w:t>
      </w:r>
    </w:p>
    <w:p w14:paraId="772B4B98" w14:textId="6AEF1485" w:rsidR="001D5DE9" w:rsidRDefault="001D5DE9" w:rsidP="001D5DE9">
      <w:r>
        <w:tab/>
      </w:r>
      <w:r>
        <w:tab/>
      </w:r>
      <w:r>
        <w:tab/>
      </w:r>
      <w:r>
        <w:tab/>
      </w:r>
      <w:r>
        <w:tab/>
      </w:r>
      <w:r>
        <w:tab/>
      </w:r>
      <w:r w:rsidR="006C29FE">
        <w:tab/>
      </w:r>
      <w:r>
        <w:tab/>
        <w:t>Ing. Alena Kuželová, MBA</w:t>
      </w:r>
    </w:p>
    <w:p w14:paraId="53000333" w14:textId="70F32C12" w:rsidR="001D5DE9" w:rsidRDefault="001D5DE9" w:rsidP="001D5DE9">
      <w:r>
        <w:tab/>
      </w:r>
      <w:r>
        <w:tab/>
      </w:r>
      <w:r>
        <w:tab/>
      </w:r>
      <w:r>
        <w:tab/>
      </w:r>
      <w:r>
        <w:tab/>
      </w:r>
      <w:r>
        <w:tab/>
      </w:r>
      <w:r w:rsidR="006C29FE">
        <w:tab/>
      </w:r>
      <w:r>
        <w:tab/>
        <w:t>místopředseda představenstva</w:t>
      </w:r>
    </w:p>
    <w:p w14:paraId="42879478" w14:textId="0663824E" w:rsidR="001D5DE9" w:rsidRDefault="001D5DE9" w:rsidP="001D5DE9">
      <w:pPr>
        <w:pStyle w:val="Textkomente"/>
      </w:pPr>
    </w:p>
    <w:p w14:paraId="66578A5F" w14:textId="77777777" w:rsidR="00F7079F" w:rsidRDefault="00F7079F"/>
    <w:sectPr w:rsidR="00F7079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64C0AB" w14:textId="77777777" w:rsidR="003612FF" w:rsidRDefault="003612FF" w:rsidP="0072076C">
      <w:pPr>
        <w:spacing w:line="240" w:lineRule="auto"/>
      </w:pPr>
      <w:r>
        <w:separator/>
      </w:r>
    </w:p>
  </w:endnote>
  <w:endnote w:type="continuationSeparator" w:id="0">
    <w:p w14:paraId="50F3EFF0" w14:textId="77777777" w:rsidR="003612FF" w:rsidRDefault="003612FF" w:rsidP="00720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5838130"/>
      <w:docPartObj>
        <w:docPartGallery w:val="Page Numbers (Bottom of Page)"/>
        <w:docPartUnique/>
      </w:docPartObj>
    </w:sdtPr>
    <w:sdtEndPr/>
    <w:sdtContent>
      <w:p w14:paraId="584B052C" w14:textId="77777777" w:rsidR="0072076C" w:rsidRDefault="0072076C">
        <w:pPr>
          <w:pStyle w:val="Zpat"/>
          <w:jc w:val="center"/>
        </w:pPr>
        <w:r>
          <w:fldChar w:fldCharType="begin"/>
        </w:r>
        <w:r>
          <w:instrText>PAGE   \* MERGEFORMAT</w:instrText>
        </w:r>
        <w:r>
          <w:fldChar w:fldCharType="separate"/>
        </w:r>
        <w:r w:rsidR="00C30FDC">
          <w:rPr>
            <w:noProof/>
          </w:rPr>
          <w:t>9</w:t>
        </w:r>
        <w:r>
          <w:fldChar w:fldCharType="end"/>
        </w:r>
      </w:p>
    </w:sdtContent>
  </w:sdt>
  <w:p w14:paraId="51124A2A" w14:textId="77777777" w:rsidR="0072076C" w:rsidRDefault="007207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8D540" w14:textId="77777777" w:rsidR="003612FF" w:rsidRDefault="003612FF" w:rsidP="0072076C">
      <w:pPr>
        <w:spacing w:line="240" w:lineRule="auto"/>
      </w:pPr>
      <w:r>
        <w:separator/>
      </w:r>
    </w:p>
  </w:footnote>
  <w:footnote w:type="continuationSeparator" w:id="0">
    <w:p w14:paraId="61056F0B" w14:textId="77777777" w:rsidR="003612FF" w:rsidRDefault="003612FF" w:rsidP="007207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E2779"/>
    <w:multiLevelType w:val="hybridMultilevel"/>
    <w:tmpl w:val="92B6C9A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B353389"/>
    <w:multiLevelType w:val="hybridMultilevel"/>
    <w:tmpl w:val="D03401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4AE7BBB"/>
    <w:multiLevelType w:val="hybridMultilevel"/>
    <w:tmpl w:val="CDA273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16C40C53"/>
    <w:multiLevelType w:val="hybridMultilevel"/>
    <w:tmpl w:val="83B43550"/>
    <w:lvl w:ilvl="0" w:tplc="903026E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E2F0493"/>
    <w:multiLevelType w:val="hybridMultilevel"/>
    <w:tmpl w:val="B4387B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D1A54AA"/>
    <w:multiLevelType w:val="hybridMultilevel"/>
    <w:tmpl w:val="C29C8800"/>
    <w:lvl w:ilvl="0" w:tplc="0BEE0436">
      <w:start w:val="2"/>
      <w:numFmt w:val="upperRoman"/>
      <w:lvlText w:val="%1."/>
      <w:lvlJc w:val="left"/>
      <w:pPr>
        <w:ind w:left="1080" w:hanging="720"/>
      </w:pPr>
      <w:rPr>
        <w:rFonts w:asciiTheme="minorHAnsi" w:hAnsiTheme="minorHAnsi" w:cs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48AF24C3"/>
    <w:multiLevelType w:val="multilevel"/>
    <w:tmpl w:val="537888FE"/>
    <w:lvl w:ilvl="0">
      <w:start w:val="1"/>
      <w:numFmt w:val="decimal"/>
      <w:lvlText w:val="%1."/>
      <w:lvlJc w:val="left"/>
      <w:pPr>
        <w:tabs>
          <w:tab w:val="num" w:pos="360"/>
        </w:tabs>
        <w:ind w:left="360" w:hanging="360"/>
      </w:pPr>
    </w:lvl>
    <w:lvl w:ilvl="1">
      <w:start w:val="1"/>
      <w:numFmt w:val="decimal"/>
      <w:lvlText w:val="%1.%2."/>
      <w:lvlJc w:val="left"/>
      <w:pPr>
        <w:tabs>
          <w:tab w:val="num" w:pos="0"/>
        </w:tabs>
        <w:ind w:left="0" w:firstLine="28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E47793"/>
    <w:multiLevelType w:val="hybridMultilevel"/>
    <w:tmpl w:val="04A8DDE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BD26428"/>
    <w:multiLevelType w:val="hybridMultilevel"/>
    <w:tmpl w:val="3B660816"/>
    <w:lvl w:ilvl="0" w:tplc="350A311A">
      <w:start w:val="1"/>
      <w:numFmt w:val="lowerRoman"/>
      <w:lvlText w:val="(%1)"/>
      <w:lvlJc w:val="left"/>
      <w:pPr>
        <w:ind w:left="2136" w:hanging="72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0" w15:restartNumberingAfterBreak="0">
    <w:nsid w:val="5E261754"/>
    <w:multiLevelType w:val="hybridMultilevel"/>
    <w:tmpl w:val="345C05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672C571A"/>
    <w:multiLevelType w:val="multilevel"/>
    <w:tmpl w:val="388CA34E"/>
    <w:lvl w:ilvl="0">
      <w:start w:val="1"/>
      <w:numFmt w:val="upperRoman"/>
      <w:lvlText w:val="%1."/>
      <w:lvlJc w:val="righ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2" w15:restartNumberingAfterBreak="0">
    <w:nsid w:val="74CB50EC"/>
    <w:multiLevelType w:val="multilevel"/>
    <w:tmpl w:val="537888FE"/>
    <w:lvl w:ilvl="0">
      <w:start w:val="1"/>
      <w:numFmt w:val="decimal"/>
      <w:lvlText w:val="%1."/>
      <w:lvlJc w:val="left"/>
      <w:pPr>
        <w:tabs>
          <w:tab w:val="num" w:pos="360"/>
        </w:tabs>
        <w:ind w:left="360" w:hanging="360"/>
      </w:pPr>
    </w:lvl>
    <w:lvl w:ilvl="1">
      <w:start w:val="1"/>
      <w:numFmt w:val="decimal"/>
      <w:lvlText w:val="%1.%2."/>
      <w:lvlJc w:val="left"/>
      <w:pPr>
        <w:tabs>
          <w:tab w:val="num" w:pos="0"/>
        </w:tabs>
        <w:ind w:left="0" w:firstLine="28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E776A7E"/>
    <w:multiLevelType w:val="hybridMultilevel"/>
    <w:tmpl w:val="4AD66AF2"/>
    <w:lvl w:ilvl="0" w:tplc="68B41C22">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DE9"/>
    <w:rsid w:val="00150B38"/>
    <w:rsid w:val="001D5DE9"/>
    <w:rsid w:val="003612FF"/>
    <w:rsid w:val="00376C21"/>
    <w:rsid w:val="004229CC"/>
    <w:rsid w:val="006C29FE"/>
    <w:rsid w:val="0072076C"/>
    <w:rsid w:val="00852CD6"/>
    <w:rsid w:val="009570AB"/>
    <w:rsid w:val="00C30FDC"/>
    <w:rsid w:val="00C56F22"/>
    <w:rsid w:val="00CA3A45"/>
    <w:rsid w:val="00F70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2341F"/>
  <w15:chartTrackingRefBased/>
  <w15:docId w15:val="{EBBD5B42-C4BA-4313-9A51-D3B78C90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DE9"/>
    <w:pPr>
      <w:spacing w:after="0" w:line="280" w:lineRule="atLeast"/>
    </w:pPr>
    <w:rPr>
      <w:rFonts w:ascii="Calibri" w:eastAsia="Times New Roman" w:hAnsi="Calibri" w:cs="Calibri"/>
      <w:lang w:eastAsia="de-DE"/>
    </w:rPr>
  </w:style>
  <w:style w:type="paragraph" w:styleId="Nadpis2">
    <w:name w:val="heading 2"/>
    <w:basedOn w:val="Normln"/>
    <w:next w:val="Normln"/>
    <w:link w:val="Nadpis2Char"/>
    <w:uiPriority w:val="9"/>
    <w:semiHidden/>
    <w:unhideWhenUsed/>
    <w:qFormat/>
    <w:rsid w:val="001D5DE9"/>
    <w:pPr>
      <w:keepNext/>
      <w:spacing w:before="240" w:after="120" w:line="240" w:lineRule="auto"/>
      <w:jc w:val="center"/>
      <w:outlineLvl w:val="1"/>
    </w:pPr>
    <w:rPr>
      <w:rFonts w:ascii="Segoe UI" w:hAnsi="Segoe UI" w:cs="Times New Roman"/>
      <w:b/>
      <w:bCs/>
      <w:iCs/>
      <w:caps/>
      <w:sz w:val="18"/>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1D5DE9"/>
    <w:rPr>
      <w:rFonts w:ascii="Segoe UI" w:eastAsia="Times New Roman" w:hAnsi="Segoe UI" w:cs="Times New Roman"/>
      <w:b/>
      <w:bCs/>
      <w:iCs/>
      <w:caps/>
      <w:sz w:val="18"/>
      <w:szCs w:val="28"/>
    </w:rPr>
  </w:style>
  <w:style w:type="paragraph" w:styleId="Textkomente">
    <w:name w:val="annotation text"/>
    <w:basedOn w:val="Normln"/>
    <w:link w:val="TextkomenteChar"/>
    <w:uiPriority w:val="99"/>
    <w:semiHidden/>
    <w:unhideWhenUsed/>
    <w:rsid w:val="001D5DE9"/>
    <w:pPr>
      <w:spacing w:line="240" w:lineRule="auto"/>
    </w:pPr>
    <w:rPr>
      <w:sz w:val="20"/>
      <w:szCs w:val="20"/>
    </w:rPr>
  </w:style>
  <w:style w:type="character" w:customStyle="1" w:styleId="TextkomenteChar">
    <w:name w:val="Text komentáře Char"/>
    <w:basedOn w:val="Standardnpsmoodstavce"/>
    <w:link w:val="Textkomente"/>
    <w:uiPriority w:val="99"/>
    <w:semiHidden/>
    <w:rsid w:val="001D5DE9"/>
    <w:rPr>
      <w:rFonts w:ascii="Calibri" w:eastAsia="Times New Roman" w:hAnsi="Calibri" w:cs="Calibri"/>
      <w:sz w:val="20"/>
      <w:szCs w:val="20"/>
      <w:lang w:eastAsia="de-DE"/>
    </w:rPr>
  </w:style>
  <w:style w:type="paragraph" w:styleId="Nzev">
    <w:name w:val="Title"/>
    <w:basedOn w:val="Normln"/>
    <w:link w:val="NzevChar"/>
    <w:uiPriority w:val="99"/>
    <w:qFormat/>
    <w:rsid w:val="001D5DE9"/>
    <w:pPr>
      <w:spacing w:line="240" w:lineRule="auto"/>
      <w:jc w:val="center"/>
    </w:pPr>
    <w:rPr>
      <w:rFonts w:ascii="Times New Roman" w:hAnsi="Times New Roman" w:cs="Times New Roman"/>
      <w:sz w:val="40"/>
      <w:szCs w:val="40"/>
      <w:lang w:eastAsia="cs-CZ"/>
    </w:rPr>
  </w:style>
  <w:style w:type="character" w:customStyle="1" w:styleId="NzevChar">
    <w:name w:val="Název Char"/>
    <w:basedOn w:val="Standardnpsmoodstavce"/>
    <w:link w:val="Nzev"/>
    <w:uiPriority w:val="99"/>
    <w:rsid w:val="001D5DE9"/>
    <w:rPr>
      <w:rFonts w:ascii="Times New Roman" w:eastAsia="Times New Roman" w:hAnsi="Times New Roman" w:cs="Times New Roman"/>
      <w:sz w:val="40"/>
      <w:szCs w:val="40"/>
      <w:lang w:eastAsia="cs-CZ"/>
    </w:rPr>
  </w:style>
  <w:style w:type="paragraph" w:styleId="Zkladntextodsazen3">
    <w:name w:val="Body Text Indent 3"/>
    <w:basedOn w:val="Normln"/>
    <w:link w:val="Zkladntextodsazen3Char"/>
    <w:uiPriority w:val="99"/>
    <w:semiHidden/>
    <w:unhideWhenUsed/>
    <w:rsid w:val="001D5DE9"/>
    <w:pPr>
      <w:tabs>
        <w:tab w:val="left" w:pos="426"/>
      </w:tabs>
      <w:spacing w:before="120" w:line="240" w:lineRule="auto"/>
      <w:ind w:left="426"/>
      <w:jc w:val="both"/>
    </w:pPr>
    <w:rPr>
      <w:rFonts w:ascii="Times New Roman" w:hAnsi="Times New Roman" w:cs="Times New Roman"/>
      <w:color w:val="FF0000"/>
      <w:sz w:val="24"/>
      <w:szCs w:val="24"/>
      <w:lang w:eastAsia="cs-CZ"/>
    </w:rPr>
  </w:style>
  <w:style w:type="character" w:customStyle="1" w:styleId="Zkladntextodsazen3Char">
    <w:name w:val="Základní text odsazený 3 Char"/>
    <w:basedOn w:val="Standardnpsmoodstavce"/>
    <w:link w:val="Zkladntextodsazen3"/>
    <w:uiPriority w:val="99"/>
    <w:semiHidden/>
    <w:rsid w:val="001D5DE9"/>
    <w:rPr>
      <w:rFonts w:ascii="Times New Roman" w:eastAsia="Times New Roman" w:hAnsi="Times New Roman" w:cs="Times New Roman"/>
      <w:color w:val="FF0000"/>
      <w:sz w:val="24"/>
      <w:szCs w:val="24"/>
      <w:lang w:eastAsia="cs-CZ"/>
    </w:rPr>
  </w:style>
  <w:style w:type="character" w:customStyle="1" w:styleId="BezmezerChar">
    <w:name w:val="Bez mezer Char"/>
    <w:link w:val="Bezmezer"/>
    <w:uiPriority w:val="99"/>
    <w:locked/>
    <w:rsid w:val="001D5DE9"/>
    <w:rPr>
      <w:rFonts w:ascii="Calibri" w:eastAsia="Calibri" w:hAnsi="Calibri" w:cs="Calibri"/>
    </w:rPr>
  </w:style>
  <w:style w:type="paragraph" w:styleId="Bezmezer">
    <w:name w:val="No Spacing"/>
    <w:link w:val="BezmezerChar"/>
    <w:uiPriority w:val="99"/>
    <w:qFormat/>
    <w:rsid w:val="001D5DE9"/>
    <w:pPr>
      <w:spacing w:after="0" w:line="240" w:lineRule="auto"/>
    </w:pPr>
    <w:rPr>
      <w:rFonts w:ascii="Calibri" w:eastAsia="Calibri" w:hAnsi="Calibri" w:cs="Calibri"/>
    </w:rPr>
  </w:style>
  <w:style w:type="paragraph" w:styleId="Odstavecseseznamem">
    <w:name w:val="List Paragraph"/>
    <w:basedOn w:val="Normln"/>
    <w:uiPriority w:val="99"/>
    <w:qFormat/>
    <w:rsid w:val="001D5DE9"/>
    <w:pPr>
      <w:ind w:left="720"/>
    </w:pPr>
  </w:style>
  <w:style w:type="character" w:styleId="Odkaznakoment">
    <w:name w:val="annotation reference"/>
    <w:basedOn w:val="Standardnpsmoodstavce"/>
    <w:uiPriority w:val="99"/>
    <w:semiHidden/>
    <w:unhideWhenUsed/>
    <w:rsid w:val="001D5DE9"/>
    <w:rPr>
      <w:sz w:val="16"/>
      <w:szCs w:val="16"/>
    </w:rPr>
  </w:style>
  <w:style w:type="paragraph" w:styleId="Textbubliny">
    <w:name w:val="Balloon Text"/>
    <w:basedOn w:val="Normln"/>
    <w:link w:val="TextbublinyChar"/>
    <w:uiPriority w:val="99"/>
    <w:semiHidden/>
    <w:unhideWhenUsed/>
    <w:rsid w:val="001D5DE9"/>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DE9"/>
    <w:rPr>
      <w:rFonts w:ascii="Segoe UI" w:eastAsia="Times New Roman" w:hAnsi="Segoe UI" w:cs="Segoe UI"/>
      <w:sz w:val="18"/>
      <w:szCs w:val="18"/>
      <w:lang w:eastAsia="de-DE"/>
    </w:rPr>
  </w:style>
  <w:style w:type="paragraph" w:styleId="Zhlav">
    <w:name w:val="header"/>
    <w:basedOn w:val="Normln"/>
    <w:link w:val="ZhlavChar"/>
    <w:uiPriority w:val="99"/>
    <w:unhideWhenUsed/>
    <w:rsid w:val="0072076C"/>
    <w:pPr>
      <w:tabs>
        <w:tab w:val="center" w:pos="4536"/>
        <w:tab w:val="right" w:pos="9072"/>
      </w:tabs>
      <w:spacing w:line="240" w:lineRule="auto"/>
    </w:pPr>
  </w:style>
  <w:style w:type="character" w:customStyle="1" w:styleId="ZhlavChar">
    <w:name w:val="Záhlaví Char"/>
    <w:basedOn w:val="Standardnpsmoodstavce"/>
    <w:link w:val="Zhlav"/>
    <w:uiPriority w:val="99"/>
    <w:rsid w:val="0072076C"/>
    <w:rPr>
      <w:rFonts w:ascii="Calibri" w:eastAsia="Times New Roman" w:hAnsi="Calibri" w:cs="Calibri"/>
      <w:lang w:eastAsia="de-DE"/>
    </w:rPr>
  </w:style>
  <w:style w:type="paragraph" w:styleId="Zpat">
    <w:name w:val="footer"/>
    <w:basedOn w:val="Normln"/>
    <w:link w:val="ZpatChar"/>
    <w:uiPriority w:val="99"/>
    <w:unhideWhenUsed/>
    <w:rsid w:val="0072076C"/>
    <w:pPr>
      <w:tabs>
        <w:tab w:val="center" w:pos="4536"/>
        <w:tab w:val="right" w:pos="9072"/>
      </w:tabs>
      <w:spacing w:line="240" w:lineRule="auto"/>
    </w:pPr>
  </w:style>
  <w:style w:type="character" w:customStyle="1" w:styleId="ZpatChar">
    <w:name w:val="Zápatí Char"/>
    <w:basedOn w:val="Standardnpsmoodstavce"/>
    <w:link w:val="Zpat"/>
    <w:uiPriority w:val="99"/>
    <w:rsid w:val="0072076C"/>
    <w:rPr>
      <w:rFonts w:ascii="Calibri" w:eastAsia="Times New Roman" w:hAnsi="Calibri" w:cs="Calibr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20462">
      <w:bodyDiv w:val="1"/>
      <w:marLeft w:val="0"/>
      <w:marRight w:val="0"/>
      <w:marTop w:val="0"/>
      <w:marBottom w:val="0"/>
      <w:divBdr>
        <w:top w:val="none" w:sz="0" w:space="0" w:color="auto"/>
        <w:left w:val="none" w:sz="0" w:space="0" w:color="auto"/>
        <w:bottom w:val="none" w:sz="0" w:space="0" w:color="auto"/>
        <w:right w:val="none" w:sz="0" w:space="0" w:color="auto"/>
      </w:divBdr>
      <w:divsChild>
        <w:div w:id="900598531">
          <w:marLeft w:val="0"/>
          <w:marRight w:val="0"/>
          <w:marTop w:val="0"/>
          <w:marBottom w:val="0"/>
          <w:divBdr>
            <w:top w:val="none" w:sz="0" w:space="0" w:color="auto"/>
            <w:left w:val="none" w:sz="0" w:space="0" w:color="auto"/>
            <w:bottom w:val="none" w:sz="0" w:space="0" w:color="auto"/>
            <w:right w:val="none" w:sz="0" w:space="0" w:color="auto"/>
          </w:divBdr>
          <w:divsChild>
            <w:div w:id="9581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BBAB1-5F42-449D-B231-976E534C5700}">
  <ds:schemaRefs>
    <ds:schemaRef ds:uri="http://schemas.microsoft.com/sharepoint/v3/contenttype/forms"/>
  </ds:schemaRefs>
</ds:datastoreItem>
</file>

<file path=customXml/itemProps2.xml><?xml version="1.0" encoding="utf-8"?>
<ds:datastoreItem xmlns:ds="http://schemas.openxmlformats.org/officeDocument/2006/customXml" ds:itemID="{5B60540A-C42E-4A17-A456-8BA132DCF4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552E2-594A-46A4-AC5B-C66A6FAB8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3342</Words>
  <Characters>19721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Ota</cp:lastModifiedBy>
  <cp:revision>3</cp:revision>
  <dcterms:created xsi:type="dcterms:W3CDTF">2020-08-23T16:35:00Z</dcterms:created>
  <dcterms:modified xsi:type="dcterms:W3CDTF">2020-09-23T07:54:00Z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